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宋体" w:hAnsi="宋体" w:cs="宋体"/>
          <w:b/>
          <w:bCs/>
          <w:sz w:val="44"/>
          <w:szCs w:val="44"/>
        </w:rPr>
      </w:pPr>
    </w:p>
    <w:p>
      <w:pPr>
        <w:spacing w:line="440" w:lineRule="exact"/>
        <w:jc w:val="center"/>
        <w:rPr>
          <w:rFonts w:ascii="宋体" w:hAnsi="宋体" w:cs="宋体"/>
          <w:b/>
          <w:bCs/>
          <w:sz w:val="44"/>
          <w:szCs w:val="44"/>
        </w:rPr>
      </w:pPr>
    </w:p>
    <w:p>
      <w:pPr>
        <w:spacing w:line="560" w:lineRule="exact"/>
        <w:jc w:val="center"/>
        <w:rPr>
          <w:rFonts w:hint="eastAsia" w:ascii="方正小标宋简体" w:hAnsi="方正小标宋简体" w:eastAsia="方正小标宋简体" w:cs="方正小标宋简体"/>
          <w:b w:val="0"/>
          <w:bCs w:val="0"/>
          <w:sz w:val="48"/>
          <w:szCs w:val="48"/>
          <w:lang w:val="en-US" w:eastAsia="zh-CN"/>
        </w:rPr>
      </w:pPr>
      <w:r>
        <w:rPr>
          <w:rFonts w:hint="eastAsia" w:ascii="方正小标宋简体" w:hAnsi="方正小标宋简体" w:eastAsia="方正小标宋简体" w:cs="方正小标宋简体"/>
          <w:b w:val="0"/>
          <w:bCs w:val="0"/>
          <w:sz w:val="48"/>
          <w:szCs w:val="48"/>
          <w:lang w:val="en-US" w:eastAsia="zh-CN"/>
        </w:rPr>
        <w:t>宝鸡市委机构编制委员会办公室</w:t>
      </w:r>
    </w:p>
    <w:p>
      <w:pPr>
        <w:spacing w:line="560" w:lineRule="exact"/>
        <w:jc w:val="center"/>
        <w:rPr>
          <w:rFonts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b w:val="0"/>
          <w:bCs w:val="0"/>
          <w:sz w:val="48"/>
          <w:szCs w:val="48"/>
        </w:rPr>
        <w:t>20</w:t>
      </w:r>
      <w:r>
        <w:rPr>
          <w:rFonts w:hint="eastAsia" w:ascii="方正小标宋简体" w:hAnsi="方正小标宋简体" w:eastAsia="方正小标宋简体" w:cs="方正小标宋简体"/>
          <w:b w:val="0"/>
          <w:bCs w:val="0"/>
          <w:sz w:val="48"/>
          <w:szCs w:val="48"/>
          <w:lang w:val="en-US" w:eastAsia="zh-CN"/>
        </w:rPr>
        <w:t>20</w:t>
      </w:r>
      <w:r>
        <w:rPr>
          <w:rFonts w:hint="eastAsia" w:ascii="方正小标宋简体" w:hAnsi="方正小标宋简体" w:eastAsia="方正小标宋简体" w:cs="方正小标宋简体"/>
          <w:b w:val="0"/>
          <w:bCs w:val="0"/>
          <w:sz w:val="48"/>
          <w:szCs w:val="48"/>
        </w:rPr>
        <w:t>年部门决算</w:t>
      </w: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jc w:val="center"/>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hint="eastAsia"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560" w:lineRule="exact"/>
        <w:rPr>
          <w:rFonts w:asciiTheme="majorEastAsia" w:hAnsiTheme="majorEastAsia" w:eastAsiaTheme="majorEastAsia" w:cstheme="majorEastAsia"/>
          <w:b/>
          <w:bCs/>
          <w:sz w:val="44"/>
          <w:szCs w:val="44"/>
        </w:rPr>
      </w:pPr>
    </w:p>
    <w:p>
      <w:pPr>
        <w:spacing w:line="400" w:lineRule="exact"/>
        <w:ind w:firstLine="2570" w:firstLineChars="800"/>
        <w:rPr>
          <w:rFonts w:asciiTheme="majorEastAsia" w:hAnsiTheme="majorEastAsia" w:eastAsiaTheme="majorEastAsia" w:cstheme="majorEastAsia"/>
          <w:b/>
          <w:bCs/>
          <w:sz w:val="32"/>
          <w:szCs w:val="32"/>
        </w:rPr>
      </w:pPr>
    </w:p>
    <w:p>
      <w:pPr>
        <w:spacing w:line="400" w:lineRule="exact"/>
        <w:ind w:firstLine="2570" w:firstLineChars="800"/>
        <w:rPr>
          <w:rFonts w:hint="eastAsia" w:asciiTheme="majorEastAsia" w:hAnsiTheme="majorEastAsia" w:eastAsiaTheme="majorEastAsia" w:cstheme="majorEastAsia"/>
          <w:b/>
          <w:bCs/>
          <w:sz w:val="32"/>
          <w:szCs w:val="32"/>
        </w:rPr>
      </w:pPr>
    </w:p>
    <w:p>
      <w:pPr>
        <w:spacing w:line="400" w:lineRule="exact"/>
        <w:ind w:firstLine="2088" w:firstLineChars="65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rPr>
        <w:t>保密审查情况：</w:t>
      </w:r>
      <w:r>
        <w:rPr>
          <w:rFonts w:hint="eastAsia" w:asciiTheme="majorEastAsia" w:hAnsiTheme="majorEastAsia" w:eastAsiaTheme="majorEastAsia" w:cstheme="majorEastAsia"/>
          <w:b/>
          <w:bCs/>
          <w:sz w:val="32"/>
          <w:szCs w:val="32"/>
          <w:lang w:val="en-US" w:eastAsia="zh-CN"/>
        </w:rPr>
        <w:t>已审查</w:t>
      </w:r>
    </w:p>
    <w:p>
      <w:pPr>
        <w:spacing w:line="400" w:lineRule="exact"/>
        <w:jc w:val="center"/>
        <w:rPr>
          <w:rFonts w:ascii="宋体" w:hAnsi="宋体" w:cs="宋体"/>
          <w:b/>
          <w:bCs/>
          <w:sz w:val="32"/>
          <w:szCs w:val="32"/>
        </w:rPr>
      </w:pPr>
    </w:p>
    <w:p>
      <w:pPr>
        <w:spacing w:line="400" w:lineRule="exact"/>
        <w:ind w:firstLine="2088" w:firstLineChars="650"/>
        <w:rPr>
          <w:rFonts w:hint="eastAsia" w:ascii="宋体" w:hAnsi="宋体" w:eastAsia="宋体" w:cs="宋体"/>
          <w:b/>
          <w:bCs/>
          <w:sz w:val="32"/>
          <w:szCs w:val="32"/>
          <w:lang w:val="en-US" w:eastAsia="zh-CN"/>
        </w:rPr>
      </w:pPr>
      <w:r>
        <w:rPr>
          <w:rFonts w:hint="eastAsia" w:ascii="宋体" w:hAnsi="宋体" w:cs="宋体"/>
          <w:b/>
          <w:bCs/>
          <w:sz w:val="32"/>
          <w:szCs w:val="32"/>
        </w:rPr>
        <w:t>部门主要负责人审签情况：</w:t>
      </w:r>
      <w:r>
        <w:rPr>
          <w:rFonts w:hint="eastAsia" w:ascii="宋体" w:hAnsi="宋体" w:cs="宋体"/>
          <w:b/>
          <w:bCs/>
          <w:sz w:val="32"/>
          <w:szCs w:val="32"/>
          <w:lang w:val="en-US" w:eastAsia="zh-CN"/>
        </w:rPr>
        <w:t>已审签</w:t>
      </w:r>
    </w:p>
    <w:p>
      <w:pPr>
        <w:spacing w:line="400" w:lineRule="exact"/>
        <w:rPr>
          <w:rFonts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spacing w:line="400" w:lineRule="exact"/>
        <w:rPr>
          <w:rFonts w:hint="eastAsia" w:ascii="宋体" w:hAnsi="宋体" w:cs="宋体"/>
          <w:b/>
          <w:bCs/>
          <w:sz w:val="32"/>
          <w:szCs w:val="32"/>
        </w:rPr>
      </w:pPr>
      <w:r>
        <w:rPr>
          <w:rFonts w:hint="eastAsia" w:ascii="宋体" w:hAnsi="宋体" w:cs="宋体"/>
          <w:b/>
          <w:bCs/>
          <w:sz w:val="32"/>
          <w:szCs w:val="32"/>
        </w:rPr>
        <w:t xml:space="preserve"> </w:t>
      </w:r>
      <w:r>
        <w:rPr>
          <w:rFonts w:ascii="宋体" w:hAnsi="宋体" w:cs="宋体"/>
          <w:b/>
          <w:bCs/>
          <w:sz w:val="32"/>
          <w:szCs w:val="32"/>
        </w:rPr>
        <w:t xml:space="preserve">               </w:t>
      </w:r>
    </w:p>
    <w:p>
      <w:pPr>
        <w:jc w:val="center"/>
        <w:rPr>
          <w:rFonts w:ascii="黑体" w:hAnsi="宋体" w:eastAsia="黑体"/>
          <w:bCs/>
          <w:color w:val="000000"/>
          <w:kern w:val="0"/>
          <w:sz w:val="36"/>
          <w:szCs w:val="36"/>
          <w:lang w:bidi="ar"/>
        </w:rPr>
        <w:sectPr>
          <w:footerReference r:id="rId3" w:type="default"/>
          <w:pgSz w:w="11906" w:h="16838"/>
          <w:pgMar w:top="2098" w:right="1474" w:bottom="1984" w:left="1587" w:header="851" w:footer="992" w:gutter="0"/>
          <w:cols w:space="0" w:num="1"/>
          <w:docGrid w:type="lines" w:linePitch="315" w:charSpace="0"/>
        </w:sectPr>
      </w:pPr>
    </w:p>
    <w:p>
      <w:pPr>
        <w:jc w:val="center"/>
        <w:rPr>
          <w:rFonts w:ascii="黑体" w:hAnsi="宋体" w:eastAsia="黑体"/>
          <w:bCs/>
          <w:color w:val="000000"/>
          <w:kern w:val="0"/>
          <w:sz w:val="36"/>
          <w:szCs w:val="36"/>
          <w:lang w:bidi="ar"/>
        </w:rPr>
      </w:pPr>
      <w:r>
        <w:rPr>
          <w:rFonts w:ascii="黑体" w:hAnsi="宋体" w:eastAsia="黑体"/>
          <w:bCs/>
          <w:color w:val="000000"/>
          <w:kern w:val="0"/>
          <w:sz w:val="36"/>
          <w:szCs w:val="36"/>
          <w:lang w:bidi="ar"/>
        </w:rPr>
        <w:t>目</w:t>
      </w:r>
      <w:r>
        <w:rPr>
          <w:rFonts w:hint="eastAsia" w:ascii="黑体" w:hAnsi="宋体" w:eastAsia="黑体"/>
          <w:bCs/>
          <w:color w:val="000000"/>
          <w:kern w:val="0"/>
          <w:sz w:val="36"/>
          <w:szCs w:val="36"/>
          <w:lang w:bidi="ar"/>
        </w:rPr>
        <w:t xml:space="preserve">  </w:t>
      </w:r>
      <w:r>
        <w:rPr>
          <w:rFonts w:ascii="黑体" w:hAnsi="宋体" w:eastAsia="黑体"/>
          <w:bCs/>
          <w:color w:val="000000"/>
          <w:kern w:val="0"/>
          <w:sz w:val="36"/>
          <w:szCs w:val="36"/>
          <w:lang w:bidi="ar"/>
        </w:rPr>
        <w:t>录</w:t>
      </w:r>
    </w:p>
    <w:p>
      <w:pPr>
        <w:widowControl/>
        <w:jc w:val="center"/>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color w:val="000000"/>
          <w:kern w:val="0"/>
          <w:sz w:val="32"/>
          <w:szCs w:val="32"/>
          <w:lang w:bidi="ar"/>
        </w:rPr>
        <w:t>第一部分  部门概况</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一、部门主要职责及内设机构</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二、部门决算单位构成</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三、部门人员情况</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 xml:space="preserve">第二部分  </w:t>
      </w:r>
      <w:r>
        <w:rPr>
          <w:rFonts w:hint="eastAsia" w:ascii="方正小标宋简体" w:hAnsi="方正小标宋简体" w:eastAsia="方正小标宋简体" w:cs="方正小标宋简体"/>
          <w:color w:val="000000"/>
          <w:kern w:val="0"/>
          <w:sz w:val="32"/>
          <w:szCs w:val="32"/>
          <w:lang w:eastAsia="zh-CN" w:bidi="ar"/>
        </w:rPr>
        <w:t>2020</w:t>
      </w:r>
      <w:r>
        <w:rPr>
          <w:rFonts w:hint="eastAsia" w:ascii="方正小标宋简体" w:hAnsi="方正小标宋简体" w:eastAsia="方正小标宋简体" w:cs="方正小标宋简体"/>
          <w:color w:val="000000"/>
          <w:kern w:val="0"/>
          <w:sz w:val="32"/>
          <w:szCs w:val="32"/>
          <w:lang w:bidi="ar"/>
        </w:rPr>
        <w:t>年部门决算表</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一、收入支出决算总表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二、收入决算表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三、支出决算表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四、财政拨款收入支出决算总表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五、一般公共预算财政拨款支出决算表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六、一般公共预算财政拨款基本支出决算表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 xml:space="preserve">七、一般公共预算财政拨款“三公”经费及会议费、培训费支出决算表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八、政府性基金预算财政拨款收入支出决算表</w:t>
      </w:r>
    </w:p>
    <w:p>
      <w:pPr>
        <w:widowControl/>
        <w:jc w:val="left"/>
        <w:rPr>
          <w:rFonts w:hint="eastAsia" w:ascii="仿宋" w:hAnsi="仿宋" w:eastAsia="仿宋" w:cs="楷体"/>
          <w:color w:val="000000"/>
          <w:kern w:val="0"/>
          <w:sz w:val="32"/>
          <w:szCs w:val="32"/>
          <w:lang w:eastAsia="zh-CN" w:bidi="ar"/>
        </w:rPr>
      </w:pPr>
      <w:r>
        <w:rPr>
          <w:rFonts w:hint="eastAsia" w:ascii="仿宋" w:hAnsi="仿宋" w:eastAsia="仿宋" w:cs="楷体"/>
          <w:color w:val="000000"/>
          <w:kern w:val="0"/>
          <w:sz w:val="32"/>
          <w:szCs w:val="32"/>
          <w:lang w:eastAsia="zh-CN" w:bidi="ar"/>
        </w:rPr>
        <w:t>九、国有资本经营预算财政拨款支出决算表</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 xml:space="preserve">第三部分  </w:t>
      </w:r>
      <w:r>
        <w:rPr>
          <w:rFonts w:hint="eastAsia" w:ascii="方正小标宋简体" w:hAnsi="方正小标宋简体" w:eastAsia="方正小标宋简体" w:cs="方正小标宋简体"/>
          <w:color w:val="000000"/>
          <w:kern w:val="0"/>
          <w:sz w:val="32"/>
          <w:szCs w:val="32"/>
          <w:lang w:eastAsia="zh-CN" w:bidi="ar"/>
        </w:rPr>
        <w:t>2020</w:t>
      </w:r>
      <w:r>
        <w:rPr>
          <w:rFonts w:hint="eastAsia" w:ascii="方正小标宋简体" w:hAnsi="方正小标宋简体" w:eastAsia="方正小标宋简体" w:cs="方正小标宋简体"/>
          <w:color w:val="000000"/>
          <w:kern w:val="0"/>
          <w:sz w:val="32"/>
          <w:szCs w:val="32"/>
          <w:lang w:bidi="ar"/>
        </w:rPr>
        <w:t>年部门决算情况说明</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一、收入支出决算总体情况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二、收入决算情况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三、支出决算情况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楷体" w:hAnsi="楷体" w:eastAsia="楷体" w:cs="楷体"/>
        </w:rPr>
      </w:pPr>
      <w:r>
        <w:rPr>
          <w:rFonts w:hint="eastAsia" w:ascii="仿宋" w:hAnsi="仿宋" w:eastAsia="仿宋" w:cs="楷体"/>
          <w:color w:val="000000"/>
          <w:kern w:val="0"/>
          <w:sz w:val="32"/>
          <w:szCs w:val="32"/>
          <w:lang w:bidi="ar"/>
        </w:rPr>
        <w:t>四、财政拨款收入支出决算总体情况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r>
        <w:rPr>
          <w:rFonts w:hint="eastAsia" w:ascii="楷体" w:hAnsi="楷体" w:eastAsia="楷体"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五、一般公共预算财政拨款支出决算情况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六、一般公共预算财政拨款基本支出决算情况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ind w:left="640" w:hanging="640" w:hangingChars="200"/>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七、一般公共预算财政拨款“三公”经费及会议费、培训费支出决算情况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八、政府性基金预算财政拨款收入支出情况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九、国有资本经营财政拨款收</w:t>
      </w:r>
      <w:r>
        <w:rPr>
          <w:rFonts w:hint="eastAsia" w:ascii="仿宋" w:hAnsi="仿宋" w:eastAsia="仿宋" w:cs="楷体"/>
          <w:color w:val="000000"/>
          <w:kern w:val="0"/>
          <w:sz w:val="32"/>
          <w:szCs w:val="32"/>
          <w:lang w:eastAsia="zh-CN" w:bidi="ar"/>
        </w:rPr>
        <w:t>入</w:t>
      </w:r>
      <w:r>
        <w:rPr>
          <w:rFonts w:hint="eastAsia" w:ascii="仿宋" w:hAnsi="仿宋" w:eastAsia="仿宋" w:cs="楷体"/>
          <w:color w:val="000000"/>
          <w:kern w:val="0"/>
          <w:sz w:val="32"/>
          <w:szCs w:val="32"/>
          <w:lang w:bidi="ar"/>
        </w:rPr>
        <w:t>支</w:t>
      </w:r>
      <w:r>
        <w:rPr>
          <w:rFonts w:hint="eastAsia" w:ascii="仿宋" w:hAnsi="仿宋" w:eastAsia="仿宋" w:cs="楷体"/>
          <w:color w:val="000000"/>
          <w:kern w:val="0"/>
          <w:sz w:val="32"/>
          <w:szCs w:val="32"/>
          <w:lang w:eastAsia="zh-CN" w:bidi="ar"/>
        </w:rPr>
        <w:t>出</w:t>
      </w:r>
      <w:r>
        <w:rPr>
          <w:rFonts w:hint="eastAsia" w:ascii="仿宋" w:hAnsi="仿宋" w:eastAsia="仿宋" w:cs="楷体"/>
          <w:color w:val="000000"/>
          <w:kern w:val="0"/>
          <w:sz w:val="32"/>
          <w:szCs w:val="32"/>
          <w:lang w:bidi="ar"/>
        </w:rPr>
        <w:t>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bidi="ar"/>
        </w:rPr>
        <w:t>十、机关运行经费支出情况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十一、</w:t>
      </w:r>
      <w:r>
        <w:rPr>
          <w:rFonts w:hint="eastAsia" w:ascii="仿宋" w:hAnsi="仿宋" w:eastAsia="仿宋" w:cs="楷体"/>
          <w:color w:val="000000"/>
          <w:kern w:val="0"/>
          <w:sz w:val="32"/>
          <w:szCs w:val="32"/>
          <w:lang w:bidi="ar"/>
        </w:rPr>
        <w:t>政府采购支出情况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hint="eastAsia"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十二、</w:t>
      </w:r>
      <w:r>
        <w:rPr>
          <w:rFonts w:hint="eastAsia" w:ascii="仿宋" w:hAnsi="仿宋" w:eastAsia="仿宋" w:cs="楷体"/>
          <w:color w:val="000000"/>
          <w:kern w:val="0"/>
          <w:sz w:val="32"/>
          <w:szCs w:val="32"/>
          <w:lang w:bidi="ar"/>
        </w:rPr>
        <w:t>国有资产占用及购置情况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left"/>
        <w:rPr>
          <w:rFonts w:ascii="仿宋" w:hAnsi="仿宋" w:eastAsia="仿宋" w:cs="楷体"/>
          <w:color w:val="000000"/>
          <w:kern w:val="0"/>
          <w:sz w:val="32"/>
          <w:szCs w:val="32"/>
          <w:lang w:bidi="ar"/>
        </w:rPr>
      </w:pPr>
      <w:r>
        <w:rPr>
          <w:rFonts w:hint="eastAsia" w:ascii="仿宋" w:hAnsi="仿宋" w:eastAsia="仿宋" w:cs="楷体"/>
          <w:color w:val="000000"/>
          <w:kern w:val="0"/>
          <w:sz w:val="32"/>
          <w:szCs w:val="32"/>
          <w:lang w:eastAsia="zh-CN" w:bidi="ar"/>
        </w:rPr>
        <w:t>十三、</w:t>
      </w:r>
      <w:r>
        <w:rPr>
          <w:rFonts w:hint="eastAsia" w:ascii="仿宋" w:hAnsi="仿宋" w:eastAsia="仿宋" w:cs="楷体"/>
          <w:color w:val="000000"/>
          <w:kern w:val="0"/>
          <w:sz w:val="32"/>
          <w:szCs w:val="32"/>
          <w:lang w:bidi="ar"/>
        </w:rPr>
        <w:t>预算绩效情况</w:t>
      </w:r>
      <w:r>
        <w:rPr>
          <w:rFonts w:hint="eastAsia" w:ascii="仿宋" w:hAnsi="仿宋" w:eastAsia="仿宋" w:cs="楷体"/>
          <w:color w:val="000000"/>
          <w:kern w:val="0"/>
          <w:sz w:val="32"/>
          <w:szCs w:val="32"/>
          <w:lang w:eastAsia="zh-CN" w:bidi="ar"/>
        </w:rPr>
        <w:t>说明</w:t>
      </w:r>
      <w:r>
        <w:rPr>
          <w:rFonts w:hint="eastAsia" w:ascii="仿宋" w:hAnsi="仿宋" w:eastAsia="仿宋" w:cs="楷体"/>
          <w:color w:val="000000"/>
          <w:kern w:val="0"/>
          <w:sz w:val="32"/>
          <w:szCs w:val="32"/>
          <w:lang w:bidi="ar"/>
        </w:rPr>
        <w:t xml:space="preserve"> </w:t>
      </w:r>
    </w:p>
    <w:p>
      <w:pPr>
        <w:widowControl/>
        <w:jc w:val="center"/>
        <w:rPr>
          <w:rFonts w:hint="eastAsia" w:ascii="方正小标宋简体" w:hAnsi="方正小标宋简体" w:eastAsia="方正小标宋简体" w:cs="方正小标宋简体"/>
          <w:color w:val="000000"/>
          <w:kern w:val="0"/>
          <w:sz w:val="32"/>
          <w:szCs w:val="32"/>
          <w:lang w:bidi="ar"/>
        </w:rPr>
      </w:pPr>
      <w:r>
        <w:rPr>
          <w:rFonts w:hint="eastAsia" w:ascii="方正小标宋简体" w:hAnsi="方正小标宋简体" w:eastAsia="方正小标宋简体" w:cs="方正小标宋简体"/>
          <w:color w:val="000000"/>
          <w:kern w:val="0"/>
          <w:sz w:val="32"/>
          <w:szCs w:val="32"/>
          <w:lang w:bidi="ar"/>
        </w:rPr>
        <w:t>第四部分 专业名词解释</w:t>
      </w: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黑体" w:hAnsi="宋体" w:eastAsia="黑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第一部分 部门概况</w:t>
      </w:r>
    </w:p>
    <w:p>
      <w:pPr>
        <w:widowControl/>
        <w:ind w:firstLine="640" w:firstLineChars="200"/>
        <w:jc w:val="left"/>
        <w:rPr>
          <w:rFonts w:ascii="黑体" w:hAnsi="宋体" w:eastAsia="黑体"/>
          <w:color w:val="000000"/>
          <w:kern w:val="0"/>
          <w:sz w:val="32"/>
          <w:szCs w:val="32"/>
          <w:lang w:bidi="ar"/>
        </w:rPr>
      </w:pPr>
      <w:r>
        <w:rPr>
          <w:rFonts w:hint="eastAsia" w:ascii="黑体" w:hAnsi="宋体" w:eastAsia="黑体"/>
          <w:color w:val="000000"/>
          <w:kern w:val="0"/>
          <w:sz w:val="32"/>
          <w:szCs w:val="32"/>
          <w:lang w:bidi="ar"/>
        </w:rPr>
        <w:t>一、部门主要职责及内设机构</w:t>
      </w:r>
    </w:p>
    <w:p>
      <w:pPr>
        <w:widowControl/>
        <w:ind w:firstLine="643" w:firstLineChars="20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（一）主要职责</w:t>
      </w:r>
      <w:r>
        <w:rPr>
          <w:rFonts w:hint="eastAsia" w:ascii="楷体" w:hAnsi="楷体" w:eastAsia="楷体" w:cs="楷体"/>
          <w:b/>
          <w:bCs/>
          <w:color w:val="000000"/>
          <w:kern w:val="0"/>
          <w:sz w:val="32"/>
          <w:szCs w:val="32"/>
          <w:lang w:eastAsia="zh-CN" w:bidi="ar"/>
        </w:rPr>
        <w:t>。</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1、贯彻执行党和国家关于行政体制改革、机构改革和机构编制管理的方针、政策和法律法规，拟订有关规范性文件，并组织实施。</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2、负责全市各级党政机关，人大、政协机关，法院、检察院机关，各民主党派、人民团体机关，派出机关（机构），直属事业单位的机构编制管理工作。</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3、拟订全市各级行政体制和机构改革的总体方案，审核市级机关各部门和各县区的机构改革方案，指导协调全市各级行政体制和机构改革工作。牵头推进全市行政审批制度改革，承担市行政审批制度改革工作领导小组办公室和市推进政府职能转变协调小组办公室日常工作，对改革工作进行指导、协调和监督检查。</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4、审核市级机关各部门的职能配置、调整和划分，协调市委各部门、市政府各部门、市委与市政府各部门之间，以及各部门与各县区之间的职责分工。</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5、审核市级机关机构设置和人员编制，以及副县级以上领导干部职数；审核市政府派出机构和市委、市政府直属事业单位的机构设置和领导职数、人员编制总额；审批市级机关各部门内设机构、人员编制调整、科级领导职数及人员结构比例；按权限审核、审批县区、镇（街道）机关机构设置、人员编制、领导职数的核定和调整。</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6、拟订市级机关各部门和市以下各级党政群机关的人员编制总额分配方案；审核、审批县区、镇（街道）事业编制总额分配、调整意见；指导县区、镇（街道）机构编制管理工作。</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7、负责市级议事协调机构的审核变更工作。</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8、拟订全市事业单位管理体制改革方案；按权限审核、审批市属事业单位的机构设置、人员编制、领导职数、内设机构、人员结构比例、经费形式等；按权限审核、审批县区、镇（街道）事业单位机构设置、人员编制、领导职数、人员结构、经费预算管理形式以及副科级以上内设机构的设置和调整；指导县镇事业单位管理体制改革工作。</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9、参与有关体制改革的调查研究和方案拟订工作；承办报送市委、市政府的有关规范性文件中涉及职能任务、机构编制内容的审核工作；参与审核市政府各部门及有关事业单位的行政许可事项。</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10、建立机构编制管理与组织、人事、财政预算相互配套协调的约束机制，组织实施编制实名制管理工作，运用机构编制与行政经费预算挂钩管理办法，控制机构编制膨胀和人员盲目增长。</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11、建立健全事业单位法人登记制度，依据国务院《事业单位登记管理暂行条例》和《实施细则》，组织实施市级事业单位登记管理工作，督促检查事业单位法人登记执行情况，指导县区事业单位登记管理工作。</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12、监督检查全市各级行政体制改革、机构改革和机构编制执行情况，建立健全机构编制督查和评估机制。</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13、负责联系双重领导以中、省部门领导为主的部门有关机构编制事宜。</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14、负责市级党政群机关和事业单位政务和公益机构域名注册管理工作，指导县区做好党政群机关和事业单位政务和公益机构域名注册管理工作。</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15、负责市级党政机关、事业单位网站开办审核、资格复核和标识管理工作。</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16、负责市级开发区托管镇和单位的机构编制管理工作。</w:t>
      </w:r>
    </w:p>
    <w:p>
      <w:pPr>
        <w:adjustRightInd w:val="0"/>
        <w:snapToGrid w:val="0"/>
        <w:spacing w:line="560" w:lineRule="exact"/>
        <w:ind w:firstLine="640"/>
        <w:rPr>
          <w:rFonts w:ascii="仿宋" w:hAnsi="仿宋" w:eastAsia="仿宋" w:cs="仿宋_GB2312"/>
          <w:color w:val="333333"/>
          <w:kern w:val="0"/>
          <w:sz w:val="32"/>
          <w:szCs w:val="32"/>
        </w:rPr>
      </w:pPr>
      <w:r>
        <w:rPr>
          <w:rFonts w:hint="eastAsia" w:ascii="仿宋" w:hAnsi="仿宋" w:eastAsia="仿宋" w:cs="仿宋_GB2312"/>
          <w:color w:val="333333"/>
          <w:kern w:val="0"/>
          <w:sz w:val="32"/>
          <w:szCs w:val="32"/>
        </w:rPr>
        <w:t>17、负责行政体制改革、机构改革和机构编制管理的调查研究、信息化建设工作；负责全市机构编制部门干部培训工作。</w:t>
      </w:r>
    </w:p>
    <w:p>
      <w:pPr>
        <w:spacing w:line="560" w:lineRule="exact"/>
        <w:ind w:firstLine="640"/>
        <w:rPr>
          <w:rFonts w:ascii="仿宋" w:hAnsi="仿宋" w:eastAsia="仿宋" w:cs="仿宋_GB2312"/>
          <w:color w:val="333333"/>
          <w:spacing w:val="-6"/>
          <w:kern w:val="0"/>
          <w:sz w:val="32"/>
          <w:szCs w:val="32"/>
        </w:rPr>
      </w:pPr>
      <w:r>
        <w:rPr>
          <w:rFonts w:hint="eastAsia" w:ascii="仿宋" w:hAnsi="仿宋" w:eastAsia="仿宋" w:cs="仿宋_GB2312"/>
          <w:color w:val="333333"/>
          <w:kern w:val="0"/>
          <w:sz w:val="32"/>
          <w:szCs w:val="32"/>
        </w:rPr>
        <w:t>18、</w:t>
      </w:r>
      <w:r>
        <w:rPr>
          <w:rFonts w:hint="eastAsia" w:ascii="仿宋" w:hAnsi="仿宋" w:eastAsia="仿宋" w:cs="仿宋_GB2312"/>
          <w:color w:val="333333"/>
          <w:spacing w:val="-6"/>
          <w:kern w:val="0"/>
          <w:sz w:val="32"/>
          <w:szCs w:val="32"/>
        </w:rPr>
        <w:t>承办市委、市政府和市机构编制委员会交办的其他事项。</w:t>
      </w:r>
    </w:p>
    <w:p>
      <w:pPr>
        <w:widowControl/>
        <w:ind w:firstLine="640" w:firstLineChars="200"/>
        <w:jc w:val="left"/>
        <w:rPr>
          <w:rFonts w:ascii="仿宋_GB2312" w:hAnsi="仿宋_GB2312" w:eastAsia="仿宋_GB2312" w:cs="仿宋_GB2312"/>
          <w:sz w:val="32"/>
          <w:szCs w:val="32"/>
        </w:rPr>
      </w:pPr>
      <w:r>
        <w:rPr>
          <w:rFonts w:hint="eastAsia" w:ascii="仿宋" w:hAnsi="仿宋" w:eastAsia="仿宋" w:cs="仿宋_GB2312"/>
          <w:sz w:val="32"/>
          <w:szCs w:val="32"/>
        </w:rPr>
        <w:t>市编办内设综合科、机关编制科、事业编制科、县区编制科、监督检查科（市编委督查室）、体制改革科（行政审批制度改革科）、政策法规科、事业单位登记管理局8个科局。</w:t>
      </w:r>
    </w:p>
    <w:p>
      <w:pPr>
        <w:widowControl/>
        <w:numPr>
          <w:ilvl w:val="0"/>
          <w:numId w:val="1"/>
        </w:numPr>
        <w:ind w:left="-13" w:leftChars="0" w:firstLine="643" w:firstLineChars="0"/>
        <w:jc w:val="left"/>
        <w:rPr>
          <w:rFonts w:hint="eastAsia" w:ascii="楷体" w:hAnsi="楷体" w:eastAsia="楷体" w:cs="楷体"/>
          <w:b/>
          <w:bCs/>
          <w:color w:val="000000"/>
          <w:kern w:val="0"/>
          <w:sz w:val="32"/>
          <w:szCs w:val="32"/>
          <w:lang w:eastAsia="zh-CN" w:bidi="ar"/>
        </w:rPr>
      </w:pPr>
      <w:r>
        <w:rPr>
          <w:rFonts w:hint="eastAsia" w:ascii="楷体" w:hAnsi="楷体" w:eastAsia="楷体" w:cs="楷体"/>
          <w:b/>
          <w:bCs/>
          <w:color w:val="000000"/>
          <w:kern w:val="0"/>
          <w:sz w:val="32"/>
          <w:szCs w:val="32"/>
          <w:lang w:bidi="ar"/>
        </w:rPr>
        <w:t>内设机构</w:t>
      </w:r>
      <w:r>
        <w:rPr>
          <w:rFonts w:hint="eastAsia" w:ascii="楷体" w:hAnsi="楷体" w:eastAsia="楷体" w:cs="楷体"/>
          <w:b/>
          <w:bCs/>
          <w:color w:val="000000"/>
          <w:kern w:val="0"/>
          <w:sz w:val="32"/>
          <w:szCs w:val="32"/>
          <w:lang w:eastAsia="zh-CN" w:bidi="ar"/>
        </w:rPr>
        <w:t>。</w:t>
      </w:r>
    </w:p>
    <w:p>
      <w:pPr>
        <w:widowControl/>
        <w:numPr>
          <w:ilvl w:val="0"/>
          <w:numId w:val="0"/>
        </w:numPr>
        <w:jc w:val="left"/>
        <w:rPr>
          <w:rFonts w:hint="default" w:ascii="楷体" w:hAnsi="楷体" w:eastAsia="楷体" w:cs="楷体"/>
          <w:b/>
          <w:bCs/>
          <w:color w:val="000000"/>
          <w:kern w:val="0"/>
          <w:sz w:val="32"/>
          <w:szCs w:val="32"/>
          <w:lang w:val="en-US" w:eastAsia="zh-CN" w:bidi="ar"/>
        </w:rPr>
      </w:pPr>
      <w:r>
        <w:rPr>
          <w:rFonts w:hint="eastAsia" w:ascii="楷体" w:hAnsi="楷体" w:eastAsia="楷体" w:cs="楷体"/>
          <w:b/>
          <w:bCs/>
          <w:color w:val="000000"/>
          <w:kern w:val="0"/>
          <w:sz w:val="32"/>
          <w:szCs w:val="32"/>
          <w:lang w:val="en-US" w:eastAsia="zh-CN" w:bidi="ar"/>
        </w:rPr>
        <w:t xml:space="preserve">    </w:t>
      </w:r>
      <w:r>
        <w:rPr>
          <w:rFonts w:hint="eastAsia" w:ascii="仿宋" w:hAnsi="仿宋" w:eastAsia="仿宋" w:cs="仿宋_GB2312"/>
          <w:sz w:val="32"/>
          <w:szCs w:val="32"/>
        </w:rPr>
        <w:t>市编办内设综合科、机关编制科、事业编制科、县区编制科、监督检查科（市编委督查室）、体制改革科（行政审批制度改革科）、政策法规科、事业单位登记管理局8个科局。</w:t>
      </w:r>
    </w:p>
    <w:p>
      <w:pPr>
        <w:widowControl/>
        <w:ind w:firstLine="640" w:firstLineChars="200"/>
        <w:jc w:val="left"/>
        <w:rPr>
          <w:rFonts w:hint="eastAsia"/>
        </w:rPr>
      </w:pPr>
      <w:r>
        <w:rPr>
          <w:rFonts w:ascii="黑体" w:hAnsi="宋体" w:eastAsia="黑体"/>
          <w:color w:val="000000"/>
          <w:kern w:val="0"/>
          <w:sz w:val="32"/>
          <w:szCs w:val="32"/>
          <w:lang w:bidi="ar"/>
        </w:rPr>
        <w:t>二、</w:t>
      </w:r>
      <w:r>
        <w:rPr>
          <w:rFonts w:hint="eastAsia" w:ascii="黑体" w:hAnsi="宋体" w:eastAsia="黑体"/>
          <w:color w:val="000000"/>
          <w:kern w:val="0"/>
          <w:sz w:val="32"/>
          <w:szCs w:val="32"/>
          <w:lang w:bidi="ar"/>
        </w:rPr>
        <w:t>部门决算单位构成</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纳入</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年本部门决算编制范围的单位共</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个，包括本级及所属</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个</w:t>
      </w:r>
      <w:r>
        <w:rPr>
          <w:rFonts w:ascii="仿宋_GB2312" w:hAnsi="仿宋_GB2312" w:eastAsia="仿宋_GB2312" w:cs="仿宋_GB2312"/>
          <w:color w:val="000000"/>
          <w:kern w:val="0"/>
          <w:sz w:val="31"/>
          <w:szCs w:val="31"/>
          <w:lang w:bidi="ar"/>
        </w:rPr>
        <w:t>二级预算</w:t>
      </w:r>
      <w:r>
        <w:rPr>
          <w:rFonts w:hint="eastAsia" w:ascii="仿宋_GB2312" w:hAnsi="仿宋_GB2312" w:eastAsia="仿宋_GB2312" w:cs="仿宋_GB2312"/>
          <w:sz w:val="32"/>
          <w:szCs w:val="32"/>
        </w:rPr>
        <w:t>单位：</w:t>
      </w:r>
    </w:p>
    <w:tbl>
      <w:tblPr>
        <w:tblStyle w:val="8"/>
        <w:tblW w:w="89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1"/>
        <w:gridCol w:w="7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黑体" w:hAnsi="黑体" w:eastAsia="黑体"/>
                <w:sz w:val="32"/>
                <w:szCs w:val="32"/>
              </w:rPr>
            </w:pPr>
            <w:r>
              <w:rPr>
                <w:rFonts w:hint="eastAsia" w:ascii="黑体" w:hAnsi="黑体" w:eastAsia="黑体"/>
                <w:sz w:val="32"/>
                <w:szCs w:val="32"/>
              </w:rPr>
              <w:t>序号</w:t>
            </w:r>
          </w:p>
        </w:tc>
        <w:tc>
          <w:tcPr>
            <w:tcW w:w="7278" w:type="dxa"/>
            <w:vAlign w:val="center"/>
          </w:tcPr>
          <w:p>
            <w:pPr>
              <w:jc w:val="center"/>
              <w:rPr>
                <w:rFonts w:ascii="黑体" w:hAnsi="黑体" w:eastAsia="黑体"/>
                <w:sz w:val="32"/>
                <w:szCs w:val="32"/>
              </w:rPr>
            </w:pPr>
            <w:r>
              <w:rPr>
                <w:rFonts w:hint="eastAsia" w:ascii="黑体" w:hAnsi="黑体" w:eastAsia="黑体"/>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中共宝鸡市委机构编制委员会办公室</w:t>
            </w:r>
            <w:r>
              <w:rPr>
                <w:rFonts w:hint="eastAsia" w:ascii="仿宋_GB2312" w:hAnsi="仿宋_GB2312" w:eastAsia="仿宋_GB2312" w:cs="仿宋_GB2312"/>
                <w:sz w:val="32"/>
                <w:szCs w:val="32"/>
              </w:rPr>
              <w:t>（机关）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681"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7278"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w:t>
            </w:r>
          </w:p>
        </w:tc>
      </w:tr>
    </w:tbl>
    <w:p>
      <w:pPr>
        <w:ind w:firstLine="640"/>
        <w:rPr>
          <w:rFonts w:ascii="黑体" w:hAnsi="黑体" w:eastAsia="黑体"/>
          <w:b/>
          <w:bCs/>
          <w:sz w:val="32"/>
          <w:szCs w:val="32"/>
        </w:rPr>
      </w:pPr>
      <w:r>
        <w:rPr>
          <w:rFonts w:hint="eastAsia" w:ascii="黑体" w:hAnsi="黑体" w:eastAsia="黑体"/>
          <w:b/>
          <w:bCs/>
          <w:sz w:val="32"/>
          <w:szCs w:val="32"/>
        </w:rPr>
        <w:t>三、部门人员情况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截止</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年底，本部门人员编制</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人，其中行政编制</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rPr>
        <w:t>人、事业编制</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人；实有人员</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人，其中行政</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人、事业</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人。单位管理的离退休人员</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p>
    <w:p>
      <w:pPr>
        <w:widowControl/>
        <w:jc w:val="center"/>
        <w:rPr>
          <w:rFonts w:ascii="黑体" w:hAnsi="宋体" w:eastAsia="黑体"/>
          <w:color w:val="000000"/>
          <w:kern w:val="0"/>
          <w:sz w:val="44"/>
          <w:szCs w:val="44"/>
          <w:lang w:bidi="ar"/>
        </w:rPr>
      </w:pPr>
    </w:p>
    <w:p>
      <w:pPr>
        <w:jc w:val="center"/>
        <w:rPr>
          <w:rFonts w:hint="eastAsia" w:ascii="方正小标宋简体" w:hAnsi="方正小标宋简体" w:eastAsia="方正小标宋简体" w:cs="方正小标宋简体"/>
          <w:color w:val="000000"/>
          <w:kern w:val="0"/>
          <w:sz w:val="44"/>
          <w:szCs w:val="44"/>
          <w:lang w:bidi="ar"/>
        </w:rPr>
      </w:pPr>
      <w:r>
        <w:drawing>
          <wp:inline distT="0" distB="0" distL="0" distR="0">
            <wp:extent cx="3331845" cy="2019935"/>
            <wp:effectExtent l="0" t="0" r="1905" b="18415"/>
            <wp:docPr id="5" name="对象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jc w:val="center"/>
        <w:rPr>
          <w:rFonts w:hint="eastAsia" w:ascii="方正小标宋简体" w:hAnsi="方正小标宋简体" w:eastAsia="方正小标宋简体" w:cs="方正小标宋简体"/>
          <w:color w:val="000000"/>
          <w:kern w:val="0"/>
          <w:sz w:val="44"/>
          <w:szCs w:val="44"/>
          <w:lang w:bidi="ar"/>
        </w:rPr>
      </w:pPr>
      <w:r>
        <w:rPr>
          <w:rFonts w:hint="eastAsia" w:ascii="方正小标宋简体" w:hAnsi="方正小标宋简体" w:eastAsia="方正小标宋简体" w:cs="方正小标宋简体"/>
          <w:color w:val="000000"/>
          <w:kern w:val="0"/>
          <w:sz w:val="44"/>
          <w:szCs w:val="44"/>
          <w:lang w:bidi="ar"/>
        </w:rPr>
        <w:t xml:space="preserve">第二部分 </w:t>
      </w:r>
      <w:r>
        <w:rPr>
          <w:rFonts w:hint="eastAsia" w:ascii="方正小标宋简体" w:hAnsi="方正小标宋简体" w:eastAsia="方正小标宋简体" w:cs="方正小标宋简体"/>
          <w:color w:val="000000"/>
          <w:kern w:val="0"/>
          <w:sz w:val="44"/>
          <w:szCs w:val="44"/>
          <w:lang w:eastAsia="zh-CN" w:bidi="ar"/>
        </w:rPr>
        <w:t>2020</w:t>
      </w:r>
      <w:r>
        <w:rPr>
          <w:rFonts w:hint="eastAsia" w:ascii="方正小标宋简体" w:hAnsi="方正小标宋简体" w:eastAsia="方正小标宋简体" w:cs="方正小标宋简体"/>
          <w:color w:val="000000"/>
          <w:kern w:val="0"/>
          <w:sz w:val="44"/>
          <w:szCs w:val="44"/>
          <w:lang w:bidi="ar"/>
        </w:rPr>
        <w:t>年度部门决算表</w:t>
      </w:r>
    </w:p>
    <w:tbl>
      <w:tblPr>
        <w:tblStyle w:val="7"/>
        <w:tblpPr w:leftFromText="180" w:rightFromText="180" w:vertAnchor="text" w:horzAnchor="page" w:tblpX="1472" w:tblpY="1123"/>
        <w:tblOverlap w:val="never"/>
        <w:tblW w:w="9000" w:type="dxa"/>
        <w:tblInd w:w="0" w:type="dxa"/>
        <w:tblLayout w:type="fixed"/>
        <w:tblCellMar>
          <w:top w:w="0" w:type="dxa"/>
          <w:left w:w="0" w:type="dxa"/>
          <w:bottom w:w="0" w:type="dxa"/>
          <w:right w:w="0" w:type="dxa"/>
        </w:tblCellMar>
      </w:tblPr>
      <w:tblGrid>
        <w:gridCol w:w="735"/>
        <w:gridCol w:w="4110"/>
        <w:gridCol w:w="1047"/>
        <w:gridCol w:w="3108"/>
      </w:tblGrid>
      <w:tr>
        <w:tblPrEx>
          <w:tblCellMar>
            <w:top w:w="0" w:type="dxa"/>
            <w:left w:w="0" w:type="dxa"/>
            <w:bottom w:w="0" w:type="dxa"/>
            <w:right w:w="0" w:type="dxa"/>
          </w:tblCellMar>
        </w:tblPrEx>
        <w:trPr>
          <w:trHeight w:val="645"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序号</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内容</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kern w:val="0"/>
                <w:sz w:val="24"/>
                <w:lang w:bidi="ar"/>
              </w:rPr>
            </w:pPr>
            <w:r>
              <w:rPr>
                <w:rFonts w:hint="eastAsia" w:ascii="黑体" w:hAnsi="宋体" w:eastAsia="黑体"/>
                <w:color w:val="000000"/>
                <w:kern w:val="0"/>
                <w:sz w:val="24"/>
                <w:lang w:bidi="ar"/>
              </w:rPr>
              <w:t>是否</w:t>
            </w:r>
          </w:p>
          <w:p>
            <w:pPr>
              <w:widowControl/>
              <w:jc w:val="center"/>
              <w:textAlignment w:val="center"/>
              <w:rPr>
                <w:rFonts w:ascii="黑体" w:hAnsi="宋体" w:eastAsia="黑体"/>
                <w:color w:val="000000"/>
                <w:sz w:val="24"/>
              </w:rPr>
            </w:pPr>
            <w:r>
              <w:rPr>
                <w:rFonts w:hint="eastAsia" w:ascii="黑体" w:hAnsi="宋体" w:eastAsia="黑体"/>
                <w:color w:val="000000"/>
                <w:kern w:val="0"/>
                <w:sz w:val="24"/>
                <w:lang w:bidi="ar"/>
              </w:rPr>
              <w:t>空表</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黑体" w:hAnsi="宋体" w:eastAsia="黑体"/>
                <w:color w:val="000000"/>
                <w:sz w:val="24"/>
              </w:rPr>
            </w:pPr>
            <w:r>
              <w:rPr>
                <w:rFonts w:hint="eastAsia" w:ascii="黑体" w:hAnsi="宋体" w:eastAsia="黑体"/>
                <w:color w:val="000000"/>
                <w:kern w:val="0"/>
                <w:sz w:val="24"/>
                <w:lang w:eastAsia="zh-CN" w:bidi="ar"/>
              </w:rPr>
              <w:t>表格为空的</w:t>
            </w:r>
            <w:r>
              <w:rPr>
                <w:rFonts w:hint="eastAsia" w:ascii="黑体" w:hAnsi="宋体" w:eastAsia="黑体"/>
                <w:color w:val="000000"/>
                <w:kern w:val="0"/>
                <w:sz w:val="24"/>
                <w:lang w:bidi="ar"/>
              </w:rPr>
              <w:t>理由</w:t>
            </w: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表1</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表2</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收入决算表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表3</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737"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表4</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财政拨款收入支出决算总表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表5</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一般公共预算财政拨款支出决算表</w:t>
            </w:r>
          </w:p>
          <w:p>
            <w:pPr>
              <w:widowControl/>
              <w:jc w:val="left"/>
              <w:rPr>
                <w:rFonts w:ascii="宋体" w:hAnsi="宋体" w:cs="宋体"/>
                <w:color w:val="000000"/>
                <w:kern w:val="0"/>
                <w:sz w:val="24"/>
                <w:lang w:bidi="ar"/>
              </w:rPr>
            </w:pPr>
            <w:r>
              <w:rPr>
                <w:rFonts w:hint="eastAsia" w:ascii="宋体" w:hAnsi="宋体" w:cs="宋体"/>
                <w:color w:val="000000"/>
                <w:kern w:val="0"/>
                <w:sz w:val="24"/>
                <w:lang w:bidi="ar"/>
              </w:rPr>
              <w:t>（按功能分类科目）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表6</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ascii="宋体" w:hAnsi="宋体" w:cs="宋体"/>
                <w:color w:val="000000"/>
                <w:kern w:val="0"/>
                <w:sz w:val="24"/>
                <w:lang w:bidi="ar"/>
              </w:rPr>
            </w:pPr>
            <w:r>
              <w:rPr>
                <w:rFonts w:hint="eastAsia" w:ascii="宋体" w:hAnsi="宋体" w:cs="宋体"/>
                <w:color w:val="000000"/>
                <w:kern w:val="0"/>
                <w:sz w:val="24"/>
                <w:lang w:bidi="ar"/>
              </w:rPr>
              <w:t>一般公共预算财政拨款基本支出决算表 （按经济分类科目）</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表7</w:t>
            </w:r>
          </w:p>
        </w:tc>
        <w:tc>
          <w:tcPr>
            <w:tcW w:w="41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一般公共预算财政拨款“三公”经费及会议费、培训费支出决算表</w:t>
            </w:r>
          </w:p>
        </w:tc>
        <w:tc>
          <w:tcPr>
            <w:tcW w:w="10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r>
              <w:rPr>
                <w:rFonts w:hint="eastAsia" w:ascii="宋体" w:hAnsi="宋体" w:cs="宋体"/>
                <w:color w:val="000000"/>
                <w:sz w:val="24"/>
                <w:lang w:val="en-US" w:eastAsia="zh-CN"/>
              </w:rPr>
              <w:t>否</w:t>
            </w:r>
          </w:p>
        </w:tc>
        <w:tc>
          <w:tcPr>
            <w:tcW w:w="310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表8</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bidi="ar"/>
              </w:rPr>
              <w:t>政府性基金预算财政拨款收入支出</w:t>
            </w:r>
          </w:p>
          <w:p>
            <w:pPr>
              <w:widowControl/>
              <w:jc w:val="left"/>
              <w:rPr>
                <w:rFonts w:ascii="宋体" w:hAnsi="宋体" w:cs="宋体"/>
                <w:color w:val="000000"/>
                <w:sz w:val="24"/>
              </w:rPr>
            </w:pPr>
            <w:r>
              <w:rPr>
                <w:rFonts w:hint="eastAsia" w:ascii="宋体" w:hAnsi="宋体" w:cs="宋体"/>
                <w:color w:val="000000"/>
                <w:kern w:val="0"/>
                <w:sz w:val="24"/>
                <w:lang w:bidi="ar"/>
              </w:rPr>
              <w:t>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仿宋" w:hAnsi="仿宋" w:eastAsia="仿宋" w:cs="宋体"/>
                <w:color w:val="000000"/>
                <w:sz w:val="24"/>
              </w:rPr>
              <w:t>不涉及</w:t>
            </w:r>
          </w:p>
        </w:tc>
      </w:tr>
      <w:tr>
        <w:tblPrEx>
          <w:tblCellMar>
            <w:top w:w="0" w:type="dxa"/>
            <w:left w:w="0" w:type="dxa"/>
            <w:bottom w:w="0" w:type="dxa"/>
            <w:right w:w="0" w:type="dxa"/>
          </w:tblCellMar>
        </w:tblPrEx>
        <w:trPr>
          <w:trHeight w:val="851" w:hRule="exact"/>
        </w:trPr>
        <w:tc>
          <w:tcPr>
            <w:tcW w:w="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4"/>
                <w:lang w:val="en-US" w:eastAsia="zh-CN" w:bidi="ar"/>
              </w:rPr>
            </w:pPr>
            <w:r>
              <w:rPr>
                <w:rFonts w:hint="eastAsia" w:ascii="宋体" w:hAnsi="宋体" w:cs="宋体"/>
                <w:color w:val="000000"/>
                <w:kern w:val="0"/>
                <w:sz w:val="24"/>
                <w:lang w:eastAsia="zh-CN" w:bidi="ar"/>
              </w:rPr>
              <w:t>表</w:t>
            </w:r>
            <w:r>
              <w:rPr>
                <w:rFonts w:hint="eastAsia" w:ascii="宋体" w:hAnsi="宋体" w:cs="宋体"/>
                <w:color w:val="000000"/>
                <w:kern w:val="0"/>
                <w:sz w:val="24"/>
                <w:lang w:val="en-US" w:eastAsia="zh-CN" w:bidi="ar"/>
              </w:rPr>
              <w:t>9</w:t>
            </w:r>
          </w:p>
        </w:tc>
        <w:tc>
          <w:tcPr>
            <w:tcW w:w="4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rPr>
                <w:rFonts w:hint="eastAsia" w:ascii="宋体" w:hAnsi="宋体" w:cs="宋体"/>
                <w:color w:val="000000"/>
                <w:kern w:val="0"/>
                <w:sz w:val="24"/>
                <w:lang w:bidi="ar"/>
              </w:rPr>
            </w:pPr>
            <w:r>
              <w:rPr>
                <w:rFonts w:hint="eastAsia" w:ascii="宋体" w:hAnsi="宋体" w:cs="宋体"/>
                <w:color w:val="000000"/>
                <w:kern w:val="0"/>
                <w:sz w:val="24"/>
                <w:lang w:eastAsia="zh-CN" w:bidi="ar"/>
              </w:rPr>
              <w:t>国有资本经营预算财政拨款支出决算表</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color w:val="000000"/>
                <w:sz w:val="24"/>
                <w:lang w:val="en-US" w:eastAsia="zh-CN"/>
              </w:rPr>
            </w:pPr>
            <w:r>
              <w:rPr>
                <w:rFonts w:hint="eastAsia" w:ascii="宋体" w:hAnsi="宋体" w:cs="宋体"/>
                <w:color w:val="000000"/>
                <w:sz w:val="24"/>
                <w:lang w:val="en-US" w:eastAsia="zh-CN"/>
              </w:rPr>
              <w:t>是</w:t>
            </w:r>
          </w:p>
        </w:tc>
        <w:tc>
          <w:tcPr>
            <w:tcW w:w="31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宋体" w:hAnsi="宋体" w:eastAsia="宋体" w:cs="宋体"/>
                <w:color w:val="000000"/>
                <w:sz w:val="24"/>
                <w:lang w:val="en-US" w:eastAsia="zh-CN"/>
              </w:rPr>
            </w:pPr>
            <w:r>
              <w:rPr>
                <w:rFonts w:hint="eastAsia" w:ascii="仿宋" w:hAnsi="仿宋" w:eastAsia="仿宋" w:cs="宋体"/>
                <w:color w:val="000000"/>
                <w:sz w:val="24"/>
              </w:rPr>
              <w:t>不涉及</w:t>
            </w:r>
          </w:p>
        </w:tc>
      </w:tr>
    </w:tbl>
    <w:p>
      <w:pPr>
        <w:jc w:val="center"/>
        <w:rPr>
          <w:rFonts w:ascii="黑体" w:hAnsi="宋体" w:eastAsia="黑体"/>
          <w:color w:val="000000"/>
          <w:kern w:val="0"/>
          <w:sz w:val="44"/>
          <w:szCs w:val="44"/>
          <w:lang w:bidi="ar"/>
        </w:rPr>
      </w:pPr>
    </w:p>
    <w:p>
      <w:pPr>
        <w:widowControl/>
        <w:rPr>
          <w:rFonts w:ascii="黑体" w:hAnsi="宋体" w:eastAsia="黑体"/>
          <w:color w:val="000000"/>
          <w:kern w:val="0"/>
          <w:sz w:val="44"/>
          <w:szCs w:val="44"/>
          <w:lang w:bidi="ar"/>
        </w:rPr>
      </w:pPr>
    </w:p>
    <w:p>
      <w:pPr>
        <w:widowControl/>
        <w:jc w:val="center"/>
        <w:textAlignment w:val="center"/>
        <w:rPr>
          <w:rFonts w:ascii="宋体" w:hAnsi="宋体" w:cs="宋体"/>
          <w:b/>
          <w:color w:val="000000"/>
          <w:kern w:val="0"/>
          <w:sz w:val="40"/>
          <w:szCs w:val="40"/>
          <w:lang w:bidi="ar"/>
        </w:rPr>
      </w:pPr>
      <w:r>
        <w:rPr>
          <w:rFonts w:hint="eastAsia" w:ascii="宋体" w:hAnsi="宋体" w:cs="宋体"/>
          <w:b/>
          <w:color w:val="000000"/>
          <w:kern w:val="0"/>
          <w:sz w:val="40"/>
          <w:szCs w:val="40"/>
          <w:lang w:bidi="ar"/>
        </w:rPr>
        <w:br w:type="page"/>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ascii="宋体" w:hAnsi="宋体" w:cs="宋体"/>
          <w:b/>
          <w:bCs/>
          <w:sz w:val="32"/>
          <w:szCs w:val="32"/>
        </w:rPr>
      </w:pPr>
      <w:r>
        <w:rPr>
          <w:rFonts w:hint="eastAsia" w:ascii="宋体" w:hAnsi="宋体" w:cs="宋体"/>
          <w:b/>
          <w:bCs/>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公开01表</w:t>
      </w:r>
    </w:p>
    <w:p>
      <w:pPr>
        <w:keepNext w:val="0"/>
        <w:keepLines w:val="0"/>
        <w:pageBreakBefore w:val="0"/>
        <w:widowControl w:val="0"/>
        <w:kinsoku/>
        <w:wordWrap/>
        <w:overflowPunct/>
        <w:topLinePunct w:val="0"/>
        <w:autoSpaceDE/>
        <w:autoSpaceDN/>
        <w:bidi w:val="0"/>
        <w:adjustRightInd/>
        <w:snapToGrid/>
        <w:spacing w:line="240" w:lineRule="auto"/>
        <w:textAlignment w:val="auto"/>
        <w:outlineLvl w:val="9"/>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中共宝鸡市委机构编制委员会办公室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884" w:type="dxa"/>
        <w:tblInd w:w="0" w:type="dxa"/>
        <w:tblLayout w:type="fixed"/>
        <w:tblCellMar>
          <w:top w:w="15" w:type="dxa"/>
          <w:left w:w="15" w:type="dxa"/>
          <w:bottom w:w="15" w:type="dxa"/>
          <w:right w:w="15" w:type="dxa"/>
        </w:tblCellMar>
      </w:tblPr>
      <w:tblGrid>
        <w:gridCol w:w="3388"/>
        <w:gridCol w:w="1080"/>
        <w:gridCol w:w="3090"/>
        <w:gridCol w:w="1326"/>
      </w:tblGrid>
      <w:tr>
        <w:tblPrEx>
          <w:tblCellMar>
            <w:top w:w="15" w:type="dxa"/>
            <w:left w:w="15" w:type="dxa"/>
            <w:bottom w:w="15" w:type="dxa"/>
            <w:right w:w="15" w:type="dxa"/>
          </w:tblCellMar>
        </w:tblPrEx>
        <w:trPr>
          <w:trHeight w:val="426" w:hRule="atLeast"/>
        </w:trPr>
        <w:tc>
          <w:tcPr>
            <w:tcW w:w="44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    入</w:t>
            </w:r>
          </w:p>
        </w:tc>
        <w:tc>
          <w:tcPr>
            <w:tcW w:w="4416"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    出</w:t>
            </w:r>
          </w:p>
        </w:tc>
      </w:tr>
      <w:tr>
        <w:tblPrEx>
          <w:tblCellMar>
            <w:top w:w="15" w:type="dxa"/>
            <w:left w:w="15" w:type="dxa"/>
            <w:bottom w:w="15" w:type="dxa"/>
            <w:right w:w="15" w:type="dxa"/>
          </w:tblCellMar>
        </w:tblPrEx>
        <w:trPr>
          <w:trHeight w:val="378"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32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ind w:firstLine="210" w:firstLineChars="100"/>
              <w:jc w:val="left"/>
              <w:textAlignment w:val="center"/>
              <w:rPr>
                <w:rFonts w:hint="eastAsia"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1.一般公共预算财政拨款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533.57</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1.</w:t>
            </w:r>
            <w:r>
              <w:rPr>
                <w:rFonts w:hint="eastAsia" w:ascii="宋体" w:hAnsi="宋体" w:cs="宋体"/>
                <w:color w:val="000000"/>
                <w:kern w:val="0"/>
                <w:szCs w:val="21"/>
              </w:rPr>
              <w:t>一般公共服务支出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486.50</w:t>
            </w:r>
          </w:p>
        </w:tc>
      </w:tr>
      <w:tr>
        <w:tblPrEx>
          <w:tblCellMar>
            <w:top w:w="15" w:type="dxa"/>
            <w:left w:w="15" w:type="dxa"/>
            <w:bottom w:w="15" w:type="dxa"/>
            <w:right w:w="15" w:type="dxa"/>
          </w:tblCellMar>
        </w:tblPrEx>
        <w:trPr>
          <w:trHeight w:val="34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2.政府性基金预算财政拨款</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2.</w:t>
            </w:r>
            <w:r>
              <w:rPr>
                <w:rFonts w:hint="eastAsia" w:ascii="宋体" w:hAnsi="宋体" w:cs="宋体"/>
                <w:color w:val="000000"/>
                <w:kern w:val="0"/>
                <w:szCs w:val="21"/>
              </w:rPr>
              <w:t>外交支出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 xml:space="preserve">3.国有资本经营预算财政拨款 </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3.</w:t>
            </w:r>
            <w:r>
              <w:rPr>
                <w:rFonts w:hint="eastAsia" w:ascii="宋体" w:hAnsi="宋体" w:cs="宋体"/>
                <w:color w:val="000000"/>
                <w:kern w:val="0"/>
                <w:szCs w:val="21"/>
              </w:rPr>
              <w:t>国防支出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4.上级补助收入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4.</w:t>
            </w:r>
            <w:r>
              <w:rPr>
                <w:rFonts w:hint="eastAsia" w:ascii="宋体" w:hAnsi="宋体" w:cs="宋体"/>
                <w:color w:val="000000"/>
                <w:kern w:val="0"/>
                <w:szCs w:val="21"/>
              </w:rPr>
              <w:t>公共安全支出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5.事业收入</w:t>
            </w:r>
          </w:p>
        </w:tc>
        <w:tc>
          <w:tcPr>
            <w:tcW w:w="1080"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5.</w:t>
            </w:r>
            <w:r>
              <w:rPr>
                <w:rFonts w:hint="eastAsia" w:ascii="宋体" w:hAnsi="宋体" w:cs="宋体"/>
                <w:color w:val="000000"/>
                <w:kern w:val="0"/>
                <w:szCs w:val="21"/>
              </w:rPr>
              <w:t>教育支出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6.经营收入</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6.</w:t>
            </w:r>
            <w:r>
              <w:rPr>
                <w:rFonts w:hint="eastAsia" w:ascii="宋体" w:hAnsi="宋体" w:cs="宋体"/>
                <w:color w:val="000000"/>
                <w:kern w:val="0"/>
                <w:szCs w:val="21"/>
              </w:rPr>
              <w:t>科学技术支出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7.附属单位上缴收入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7.</w:t>
            </w:r>
            <w:r>
              <w:rPr>
                <w:rFonts w:hint="eastAsia" w:ascii="宋体" w:hAnsi="宋体" w:cs="宋体"/>
                <w:color w:val="000000"/>
                <w:kern w:val="0"/>
                <w:szCs w:val="21"/>
              </w:rPr>
              <w:t>文化</w:t>
            </w:r>
            <w:r>
              <w:rPr>
                <w:rFonts w:hint="eastAsia" w:ascii="宋体" w:hAnsi="宋体" w:cs="宋体"/>
                <w:color w:val="000000"/>
                <w:kern w:val="0"/>
                <w:szCs w:val="21"/>
                <w:lang w:eastAsia="zh-CN"/>
              </w:rPr>
              <w:t>旅游</w:t>
            </w:r>
            <w:r>
              <w:rPr>
                <w:rFonts w:hint="eastAsia" w:ascii="宋体" w:hAnsi="宋体" w:cs="宋体"/>
                <w:color w:val="000000"/>
                <w:kern w:val="0"/>
                <w:szCs w:val="21"/>
              </w:rPr>
              <w:t>体育与传媒支出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8.其他收入</w:t>
            </w: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8.</w:t>
            </w:r>
            <w:r>
              <w:rPr>
                <w:rFonts w:hint="eastAsia" w:ascii="宋体" w:hAnsi="宋体" w:cs="宋体"/>
                <w:color w:val="000000"/>
                <w:kern w:val="0"/>
                <w:szCs w:val="21"/>
              </w:rPr>
              <w:t>社会保障和就业支出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42.42</w:t>
            </w: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val="en-US" w:eastAsia="zh-CN"/>
              </w:rPr>
              <w:t xml:space="preserve"> 9.</w:t>
            </w:r>
            <w:r>
              <w:rPr>
                <w:rFonts w:hint="eastAsia" w:ascii="宋体" w:hAnsi="宋体" w:cs="宋体"/>
                <w:color w:val="000000"/>
                <w:kern w:val="0"/>
                <w:szCs w:val="21"/>
                <w:lang w:eastAsia="zh-CN"/>
              </w:rPr>
              <w:t>卫生健康</w:t>
            </w:r>
            <w:r>
              <w:rPr>
                <w:rFonts w:hint="eastAsia" w:ascii="宋体" w:hAnsi="宋体" w:cs="宋体"/>
                <w:color w:val="000000"/>
                <w:kern w:val="0"/>
                <w:szCs w:val="21"/>
              </w:rPr>
              <w:t>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19.91</w:t>
            </w:r>
          </w:p>
        </w:tc>
      </w:tr>
      <w:tr>
        <w:tblPrEx>
          <w:tblCellMar>
            <w:top w:w="15" w:type="dxa"/>
            <w:left w:w="15" w:type="dxa"/>
            <w:bottom w:w="15" w:type="dxa"/>
            <w:right w:w="15" w:type="dxa"/>
          </w:tblCellMar>
        </w:tblPrEx>
        <w:trPr>
          <w:trHeight w:val="249"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w:t>
            </w:r>
            <w:r>
              <w:rPr>
                <w:rFonts w:hint="eastAsia" w:ascii="宋体" w:hAnsi="宋体" w:cs="宋体"/>
                <w:color w:val="000000"/>
                <w:kern w:val="0"/>
                <w:szCs w:val="21"/>
                <w:lang w:eastAsia="zh-CN"/>
              </w:rPr>
              <w:t>10.</w:t>
            </w:r>
            <w:r>
              <w:rPr>
                <w:rFonts w:hint="eastAsia" w:ascii="宋体" w:hAnsi="宋体" w:cs="宋体"/>
                <w:color w:val="000000"/>
                <w:kern w:val="0"/>
                <w:szCs w:val="21"/>
              </w:rPr>
              <w:t>节能环保支出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3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r>
              <w:rPr>
                <w:rFonts w:hint="eastAsia" w:ascii="宋体" w:hAnsi="宋体" w:eastAsia="宋体" w:cs="宋体"/>
                <w:i w:val="0"/>
                <w:color w:val="000000"/>
                <w:kern w:val="0"/>
                <w:sz w:val="20"/>
                <w:szCs w:val="20"/>
                <w:u w:val="none"/>
                <w:lang w:val="en-US" w:eastAsia="zh-CN" w:bidi="ar"/>
              </w:rPr>
              <w:t xml:space="preserve"> </w:t>
            </w:r>
          </w:p>
        </w:tc>
        <w:tc>
          <w:tcPr>
            <w:tcW w:w="1080" w:type="dxa"/>
            <w:tcBorders>
              <w:top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1.</w:t>
            </w:r>
            <w:r>
              <w:rPr>
                <w:rFonts w:hint="eastAsia" w:ascii="宋体" w:hAnsi="宋体" w:cs="宋体"/>
                <w:color w:val="000000"/>
                <w:kern w:val="0"/>
                <w:szCs w:val="21"/>
              </w:rPr>
              <w:t>城乡社区支出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0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2.</w:t>
            </w:r>
            <w:r>
              <w:rPr>
                <w:rFonts w:hint="eastAsia" w:ascii="宋体" w:hAnsi="宋体" w:cs="宋体"/>
                <w:color w:val="000000"/>
                <w:kern w:val="0"/>
                <w:szCs w:val="21"/>
              </w:rPr>
              <w:t>农林水支出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3.</w:t>
            </w:r>
            <w:r>
              <w:rPr>
                <w:rFonts w:hint="eastAsia" w:ascii="宋体" w:hAnsi="宋体" w:cs="宋体"/>
                <w:color w:val="000000"/>
                <w:kern w:val="0"/>
                <w:szCs w:val="21"/>
              </w:rPr>
              <w:t>交通运输支出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4.</w:t>
            </w:r>
            <w:r>
              <w:rPr>
                <w:rFonts w:hint="eastAsia" w:ascii="宋体" w:hAnsi="宋体" w:cs="宋体"/>
                <w:color w:val="000000"/>
                <w:kern w:val="0"/>
                <w:szCs w:val="21"/>
              </w:rPr>
              <w:t>资源勘探信息等支出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5.</w:t>
            </w:r>
            <w:r>
              <w:rPr>
                <w:rFonts w:hint="eastAsia" w:ascii="宋体" w:hAnsi="宋体" w:cs="宋体"/>
                <w:color w:val="000000"/>
                <w:kern w:val="0"/>
                <w:szCs w:val="21"/>
              </w:rPr>
              <w:t>商业服务业等支出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98"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6.</w:t>
            </w:r>
            <w:r>
              <w:rPr>
                <w:rFonts w:hint="eastAsia" w:ascii="宋体" w:hAnsi="宋体" w:cs="宋体"/>
                <w:color w:val="000000"/>
                <w:kern w:val="0"/>
                <w:szCs w:val="21"/>
              </w:rPr>
              <w:t>金融支出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7.</w:t>
            </w:r>
            <w:r>
              <w:rPr>
                <w:rFonts w:hint="eastAsia" w:ascii="宋体" w:hAnsi="宋体" w:cs="宋体"/>
                <w:color w:val="000000"/>
                <w:kern w:val="0"/>
                <w:szCs w:val="21"/>
              </w:rPr>
              <w:t>援助其他地区支出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1"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8.自然资源</w:t>
            </w:r>
            <w:r>
              <w:rPr>
                <w:rFonts w:hint="eastAsia" w:ascii="宋体" w:hAnsi="宋体" w:cs="宋体"/>
                <w:color w:val="000000"/>
                <w:kern w:val="0"/>
                <w:szCs w:val="21"/>
              </w:rPr>
              <w:t>海洋气象等支出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45"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1</w:t>
            </w:r>
            <w:r>
              <w:rPr>
                <w:rFonts w:hint="eastAsia" w:ascii="宋体" w:hAnsi="宋体" w:cs="宋体"/>
                <w:color w:val="000000"/>
                <w:kern w:val="0"/>
                <w:szCs w:val="21"/>
                <w:lang w:eastAsia="zh-CN"/>
              </w:rPr>
              <w:t>9.</w:t>
            </w:r>
            <w:r>
              <w:rPr>
                <w:rFonts w:hint="eastAsia" w:ascii="宋体" w:hAnsi="宋体" w:cs="宋体"/>
                <w:color w:val="000000"/>
                <w:kern w:val="0"/>
                <w:szCs w:val="21"/>
              </w:rPr>
              <w:t>住房保障支出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12"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 xml:space="preserve">  20</w:t>
            </w:r>
            <w:r>
              <w:rPr>
                <w:rFonts w:hint="eastAsia" w:ascii="宋体" w:hAnsi="宋体" w:cs="宋体"/>
                <w:color w:val="000000"/>
                <w:kern w:val="0"/>
                <w:szCs w:val="21"/>
                <w:lang w:val="en-US" w:eastAsia="zh-CN"/>
              </w:rPr>
              <w:t>.</w:t>
            </w:r>
            <w:r>
              <w:rPr>
                <w:rFonts w:hint="eastAsia" w:ascii="宋体" w:hAnsi="宋体" w:cs="宋体"/>
                <w:color w:val="000000"/>
                <w:kern w:val="0"/>
                <w:szCs w:val="21"/>
              </w:rPr>
              <w:t>粮油物资储备支出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szCs w:val="21"/>
                <w:lang w:eastAsia="zh-CN"/>
              </w:rPr>
            </w:pPr>
            <w:r>
              <w:rPr>
                <w:rFonts w:hint="eastAsia" w:ascii="宋体" w:hAnsi="宋体" w:cs="宋体"/>
                <w:color w:val="000000"/>
                <w:kern w:val="0"/>
                <w:szCs w:val="21"/>
              </w:rPr>
              <w:t xml:space="preserve">  2</w:t>
            </w:r>
            <w:r>
              <w:rPr>
                <w:rFonts w:hint="eastAsia" w:ascii="宋体" w:hAnsi="宋体" w:cs="宋体"/>
                <w:color w:val="000000"/>
                <w:kern w:val="0"/>
                <w:szCs w:val="21"/>
                <w:lang w:eastAsia="zh-CN"/>
              </w:rPr>
              <w:t>1.国有资本经营预算支出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Cs w:val="21"/>
                <w:lang w:eastAsia="zh-CN"/>
              </w:rPr>
            </w:pPr>
            <w:r>
              <w:rPr>
                <w:rFonts w:hint="eastAsia" w:ascii="宋体" w:hAnsi="宋体" w:cs="宋体"/>
                <w:color w:val="000000"/>
                <w:kern w:val="0"/>
                <w:szCs w:val="21"/>
                <w:lang w:val="en-US" w:eastAsia="zh-CN"/>
              </w:rPr>
              <w:t>22.</w:t>
            </w:r>
            <w:r>
              <w:rPr>
                <w:rFonts w:hint="eastAsia" w:ascii="宋体" w:hAnsi="宋体" w:cs="宋体"/>
                <w:color w:val="000000"/>
                <w:kern w:val="0"/>
                <w:szCs w:val="21"/>
                <w:lang w:eastAsia="zh-CN"/>
              </w:rPr>
              <w:t>灾害防治及应急管理支出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23.</w:t>
            </w:r>
            <w:r>
              <w:rPr>
                <w:rFonts w:hint="eastAsia" w:ascii="宋体" w:hAnsi="宋体" w:cs="宋体"/>
                <w:color w:val="000000"/>
                <w:kern w:val="0"/>
                <w:szCs w:val="21"/>
                <w:lang w:eastAsia="zh-CN"/>
              </w:rPr>
              <w:t>其他支出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287" w:hRule="atLeast"/>
        </w:trPr>
        <w:tc>
          <w:tcPr>
            <w:tcW w:w="3388"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ind w:firstLine="210" w:firstLineChars="100"/>
              <w:jc w:val="both"/>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24.抗疫特别国债安排的支出</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90" w:hRule="atLeast"/>
        </w:trPr>
        <w:tc>
          <w:tcPr>
            <w:tcW w:w="3388"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本年收入合计</w:t>
            </w:r>
          </w:p>
        </w:tc>
        <w:tc>
          <w:tcPr>
            <w:tcW w:w="1080" w:type="dxa"/>
            <w:tcBorders>
              <w:top w:val="single" w:color="000000" w:sz="4" w:space="0"/>
              <w:left w:val="single" w:color="000000" w:sz="4" w:space="0"/>
              <w:right w:val="single" w:color="000000" w:sz="4" w:space="0"/>
            </w:tcBorders>
            <w:vAlign w:val="center"/>
          </w:tcPr>
          <w:p>
            <w:pPr>
              <w:widowControl/>
              <w:jc w:val="right"/>
              <w:textAlignment w:val="center"/>
              <w:rPr>
                <w:rFonts w:ascii="宋体" w:hAnsi="宋体" w:cs="宋体"/>
                <w:color w:val="000000"/>
                <w:szCs w:val="21"/>
              </w:rPr>
            </w:pPr>
            <w:r>
              <w:rPr>
                <w:rFonts w:hint="eastAsia" w:ascii="宋体" w:hAnsi="宋体" w:cs="宋体"/>
                <w:color w:val="000000"/>
                <w:kern w:val="0"/>
                <w:szCs w:val="21"/>
                <w:lang w:val="en-US" w:eastAsia="zh-CN"/>
              </w:rPr>
              <w:t>533.57</w:t>
            </w:r>
            <w:r>
              <w:rPr>
                <w:rFonts w:hint="eastAsia" w:ascii="宋体" w:hAnsi="宋体" w:cs="宋体"/>
                <w:color w:val="000000"/>
                <w:kern w:val="0"/>
                <w:szCs w:val="21"/>
              </w:rPr>
              <w:t xml:space="preserve"> </w:t>
            </w:r>
          </w:p>
        </w:tc>
        <w:tc>
          <w:tcPr>
            <w:tcW w:w="3090"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326" w:type="dxa"/>
            <w:tcBorders>
              <w:top w:val="single" w:color="000000" w:sz="4" w:space="0"/>
              <w:left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548.83</w:t>
            </w:r>
          </w:p>
        </w:tc>
      </w:tr>
      <w:tr>
        <w:tblPrEx>
          <w:tblCellMar>
            <w:top w:w="15" w:type="dxa"/>
            <w:left w:w="15" w:type="dxa"/>
            <w:bottom w:w="15" w:type="dxa"/>
            <w:right w:w="15" w:type="dxa"/>
          </w:tblCellMar>
        </w:tblPrEx>
        <w:trPr>
          <w:trHeight w:val="95"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bCs/>
                <w:color w:val="000000"/>
                <w:szCs w:val="21"/>
                <w:lang w:eastAsia="zh-CN"/>
              </w:rPr>
            </w:pPr>
            <w:r>
              <w:rPr>
                <w:rFonts w:hint="eastAsia" w:ascii="宋体" w:hAnsi="宋体" w:cs="宋体"/>
                <w:bCs/>
                <w:color w:val="000000"/>
                <w:kern w:val="0"/>
                <w:szCs w:val="21"/>
                <w:lang w:eastAsia="zh-CN"/>
              </w:rPr>
              <w:t>使用非财政拨款结余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Cs/>
                <w:color w:val="000000"/>
                <w:szCs w:val="21"/>
              </w:rPr>
            </w:pP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 xml:space="preserve">结余分配 </w:t>
            </w:r>
          </w:p>
        </w:tc>
        <w:tc>
          <w:tcPr>
            <w:tcW w:w="1326"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b/>
                <w:color w:val="000000"/>
                <w:szCs w:val="21"/>
              </w:rPr>
            </w:pPr>
          </w:p>
        </w:tc>
      </w:tr>
      <w:tr>
        <w:tblPrEx>
          <w:tblCellMar>
            <w:top w:w="15" w:type="dxa"/>
            <w:left w:w="15" w:type="dxa"/>
            <w:bottom w:w="15" w:type="dxa"/>
            <w:right w:w="15" w:type="dxa"/>
          </w:tblCellMar>
        </w:tblPrEx>
        <w:trPr>
          <w:trHeight w:val="90"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年初结转和结余</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Cs/>
                <w:color w:val="000000"/>
                <w:szCs w:val="21"/>
                <w:lang w:val="en-US" w:eastAsia="zh-CN"/>
              </w:rPr>
            </w:pPr>
            <w:r>
              <w:rPr>
                <w:rFonts w:hint="eastAsia" w:ascii="宋体" w:hAnsi="宋体" w:cs="宋体"/>
                <w:bCs/>
                <w:color w:val="000000"/>
                <w:szCs w:val="21"/>
                <w:lang w:val="en-US" w:eastAsia="zh-CN"/>
              </w:rPr>
              <w:t>17.72</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bCs/>
                <w:color w:val="000000"/>
                <w:szCs w:val="21"/>
              </w:rPr>
            </w:pPr>
            <w:r>
              <w:rPr>
                <w:rFonts w:hint="eastAsia" w:ascii="宋体" w:hAnsi="宋体" w:cs="宋体"/>
                <w:bCs/>
                <w:color w:val="000000"/>
                <w:kern w:val="0"/>
                <w:szCs w:val="21"/>
              </w:rPr>
              <w:t>年末结转和结余</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2.46</w:t>
            </w:r>
          </w:p>
        </w:tc>
      </w:tr>
      <w:tr>
        <w:tblPrEx>
          <w:tblCellMar>
            <w:top w:w="15" w:type="dxa"/>
            <w:left w:w="15" w:type="dxa"/>
            <w:bottom w:w="15" w:type="dxa"/>
            <w:right w:w="15" w:type="dxa"/>
          </w:tblCellMar>
        </w:tblPrEx>
        <w:trPr>
          <w:trHeight w:val="157" w:hRule="atLeast"/>
        </w:trPr>
        <w:tc>
          <w:tcPr>
            <w:tcW w:w="338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收入总计</w:t>
            </w:r>
          </w:p>
        </w:tc>
        <w:tc>
          <w:tcPr>
            <w:tcW w:w="1080"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551.29</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支出总计</w:t>
            </w:r>
          </w:p>
        </w:tc>
        <w:tc>
          <w:tcPr>
            <w:tcW w:w="1326"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szCs w:val="21"/>
                <w:lang w:val="en-US" w:eastAsia="zh-CN"/>
              </w:rPr>
            </w:pPr>
            <w:r>
              <w:rPr>
                <w:rFonts w:hint="eastAsia" w:ascii="宋体" w:hAnsi="宋体" w:cs="宋体"/>
                <w:b/>
                <w:color w:val="000000"/>
                <w:szCs w:val="21"/>
                <w:lang w:val="en-US" w:eastAsia="zh-CN"/>
              </w:rPr>
              <w:t>551.29</w:t>
            </w:r>
          </w:p>
        </w:tc>
      </w:tr>
    </w:tbl>
    <w:p>
      <w:pPr>
        <w:keepNext w:val="0"/>
        <w:keepLines w:val="0"/>
        <w:pageBreakBefore w:val="0"/>
        <w:widowControl/>
        <w:suppressLineNumbers w:val="0"/>
        <w:kinsoku/>
        <w:wordWrap/>
        <w:overflowPunct/>
        <w:topLinePunct w:val="0"/>
        <w:autoSpaceDE/>
        <w:autoSpaceDN/>
        <w:bidi w:val="0"/>
        <w:adjustRightInd/>
        <w:snapToGrid/>
        <w:spacing w:line="0" w:lineRule="atLeast"/>
        <w:jc w:val="left"/>
        <w:textAlignment w:val="auto"/>
        <w:outlineLvl w:val="9"/>
        <w:rPr>
          <w:rFonts w:ascii="宋体" w:hAnsi="宋体" w:cs="宋体"/>
          <w:sz w:val="48"/>
          <w:szCs w:val="48"/>
        </w:rPr>
      </w:pPr>
      <w:r>
        <w:rPr>
          <w:rFonts w:hint="eastAsia" w:ascii="宋体" w:hAnsi="宋体" w:cs="宋体"/>
          <w:color w:val="000000"/>
          <w:kern w:val="0"/>
          <w:szCs w:val="21"/>
        </w:rPr>
        <w:t>注：本表反映部门本年度的总收支和年末结转结余情况</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t>收入决算表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公开02表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中共宝鸡市委机构编制委员会办公室</w:t>
      </w:r>
      <w:r>
        <w:rPr>
          <w:rFonts w:hint="eastAsia" w:ascii="宋体" w:hAnsi="宋体" w:cs="宋体"/>
          <w:b/>
          <w:bCs/>
          <w:szCs w:val="21"/>
        </w:rPr>
        <w:t xml:space="preserve">                            金额单位：万元</w:t>
      </w:r>
    </w:p>
    <w:tbl>
      <w:tblPr>
        <w:tblStyle w:val="7"/>
        <w:tblW w:w="8867" w:type="dxa"/>
        <w:tblInd w:w="0" w:type="dxa"/>
        <w:tblLayout w:type="fixed"/>
        <w:tblCellMar>
          <w:top w:w="15" w:type="dxa"/>
          <w:left w:w="15" w:type="dxa"/>
          <w:bottom w:w="15" w:type="dxa"/>
          <w:right w:w="15" w:type="dxa"/>
        </w:tblCellMar>
      </w:tblPr>
      <w:tblGrid>
        <w:gridCol w:w="927"/>
        <w:gridCol w:w="1012"/>
        <w:gridCol w:w="598"/>
        <w:gridCol w:w="870"/>
        <w:gridCol w:w="720"/>
        <w:gridCol w:w="1037"/>
        <w:gridCol w:w="1153"/>
        <w:gridCol w:w="750"/>
        <w:gridCol w:w="990"/>
        <w:gridCol w:w="810"/>
      </w:tblGrid>
      <w:tr>
        <w:tblPrEx>
          <w:tblCellMar>
            <w:top w:w="15" w:type="dxa"/>
            <w:left w:w="15" w:type="dxa"/>
            <w:bottom w:w="15" w:type="dxa"/>
            <w:right w:w="15" w:type="dxa"/>
          </w:tblCellMar>
        </w:tblPrEx>
        <w:trPr>
          <w:trHeight w:val="439" w:hRule="atLeast"/>
        </w:trPr>
        <w:tc>
          <w:tcPr>
            <w:tcW w:w="1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项目</w:t>
            </w:r>
          </w:p>
        </w:tc>
        <w:tc>
          <w:tcPr>
            <w:tcW w:w="59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本年收入合计</w:t>
            </w:r>
          </w:p>
        </w:tc>
        <w:tc>
          <w:tcPr>
            <w:tcW w:w="87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财政拨款收入</w:t>
            </w:r>
          </w:p>
        </w:tc>
        <w:tc>
          <w:tcPr>
            <w:tcW w:w="7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上级补助收入</w:t>
            </w:r>
          </w:p>
        </w:tc>
        <w:tc>
          <w:tcPr>
            <w:tcW w:w="219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事业收入</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经营</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附属单位上缴收入</w:t>
            </w:r>
          </w:p>
        </w:tc>
        <w:tc>
          <w:tcPr>
            <w:tcW w:w="8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bCs/>
                <w:color w:val="000000"/>
                <w:kern w:val="0"/>
                <w:szCs w:val="21"/>
              </w:rPr>
            </w:pPr>
            <w:r>
              <w:rPr>
                <w:rFonts w:hint="eastAsia" w:ascii="宋体" w:hAnsi="宋体" w:cs="宋体"/>
                <w:b/>
                <w:bCs/>
                <w:color w:val="000000"/>
                <w:kern w:val="0"/>
                <w:szCs w:val="21"/>
              </w:rPr>
              <w:t>其他</w:t>
            </w:r>
          </w:p>
          <w:p>
            <w:pPr>
              <w:widowControl/>
              <w:jc w:val="center"/>
              <w:textAlignment w:val="center"/>
              <w:rPr>
                <w:rFonts w:ascii="宋体" w:hAnsi="宋体" w:cs="宋体"/>
                <w:b/>
                <w:bCs/>
                <w:color w:val="000000"/>
                <w:szCs w:val="21"/>
              </w:rPr>
            </w:pPr>
            <w:r>
              <w:rPr>
                <w:rFonts w:hint="eastAsia" w:ascii="宋体" w:hAnsi="宋体" w:cs="宋体"/>
                <w:b/>
                <w:bCs/>
                <w:color w:val="000000"/>
                <w:kern w:val="0"/>
                <w:szCs w:val="21"/>
              </w:rPr>
              <w:t>收入</w:t>
            </w:r>
          </w:p>
        </w:tc>
      </w:tr>
      <w:tr>
        <w:tblPrEx>
          <w:tblCellMar>
            <w:top w:w="15" w:type="dxa"/>
            <w:left w:w="15" w:type="dxa"/>
            <w:bottom w:w="15" w:type="dxa"/>
            <w:right w:w="15" w:type="dxa"/>
          </w:tblCellMar>
        </w:tblPrEx>
        <w:trPr>
          <w:trHeight w:val="1125" w:hRule="atLeast"/>
        </w:trPr>
        <w:tc>
          <w:tcPr>
            <w:tcW w:w="927" w:type="dxa"/>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012"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科目</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名称</w:t>
            </w:r>
          </w:p>
        </w:tc>
        <w:tc>
          <w:tcPr>
            <w:tcW w:w="59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7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b/>
                <w:color w:val="000000"/>
                <w:szCs w:val="21"/>
                <w:lang w:eastAsia="zh-CN"/>
              </w:rPr>
            </w:pPr>
            <w:r>
              <w:rPr>
                <w:rFonts w:hint="eastAsia" w:ascii="宋体" w:hAnsi="宋体" w:cs="宋体"/>
                <w:b/>
                <w:color w:val="000000"/>
                <w:szCs w:val="21"/>
                <w:lang w:eastAsia="zh-CN"/>
              </w:rPr>
              <w:t>小计</w:t>
            </w:r>
          </w:p>
        </w:tc>
        <w:tc>
          <w:tcPr>
            <w:tcW w:w="115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b/>
                <w:color w:val="000000"/>
                <w:szCs w:val="21"/>
                <w:lang w:val="en-US" w:eastAsia="zh-CN"/>
              </w:rPr>
            </w:pPr>
            <w:r>
              <w:rPr>
                <w:rFonts w:hint="eastAsia" w:ascii="宋体" w:hAnsi="宋体" w:cs="宋体"/>
                <w:b/>
                <w:color w:val="000000"/>
                <w:szCs w:val="21"/>
                <w:lang w:eastAsia="zh-CN"/>
              </w:rPr>
              <w:t>其中：教育</w:t>
            </w:r>
            <w:r>
              <w:rPr>
                <w:rFonts w:hint="eastAsia" w:ascii="宋体" w:hAnsi="宋体" w:cs="宋体"/>
                <w:b/>
                <w:color w:val="000000"/>
                <w:szCs w:val="21"/>
                <w:lang w:val="en-US" w:eastAsia="zh-CN"/>
              </w:rPr>
              <w:t xml:space="preserve"> </w:t>
            </w:r>
          </w:p>
          <w:p>
            <w:pPr>
              <w:ind w:firstLine="843" w:firstLineChars="400"/>
              <w:jc w:val="both"/>
              <w:rPr>
                <w:rFonts w:hint="eastAsia" w:ascii="宋体" w:hAnsi="宋体" w:eastAsia="宋体" w:cs="宋体"/>
                <w:b/>
                <w:color w:val="000000"/>
                <w:szCs w:val="21"/>
                <w:lang w:eastAsia="zh-CN"/>
              </w:rPr>
            </w:pPr>
            <w:r>
              <w:rPr>
                <w:rFonts w:hint="eastAsia" w:ascii="宋体" w:hAnsi="宋体" w:cs="宋体"/>
                <w:b/>
                <w:color w:val="000000"/>
                <w:szCs w:val="21"/>
                <w:lang w:eastAsia="zh-CN"/>
              </w:rPr>
              <w:t>收费</w:t>
            </w: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9" w:hRule="atLeast"/>
        </w:trPr>
        <w:tc>
          <w:tcPr>
            <w:tcW w:w="19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533.57</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533.57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201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一般公共服务支出</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477.80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477.80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20110</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人力资源事务</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456.20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456.20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sz w:val="15"/>
                <w:szCs w:val="15"/>
                <w:lang w:val="en-US" w:eastAsia="zh-CN"/>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2011001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 xml:space="preserve">  行政运行</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441.20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441.20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2011002</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 xml:space="preserve">  一般行政管理事务</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15.00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15.00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20111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纪检监察事务</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2011102</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 xml:space="preserve">  一般行政管理事务</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208</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社会保障和就业支出</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35.86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35.86</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20805</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行政事业单位养老支出</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35.86</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35.86</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2080505</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 xml:space="preserve">  机关事业单位基本养老保险缴费支出</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29.27</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29.27</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2080506</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 xml:space="preserve">  机关事业单位职业年金缴费支出</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6.59</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6.59</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210</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卫生健康支出</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21011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行政事业单位医疗</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3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2101101</w:t>
            </w:r>
          </w:p>
        </w:tc>
        <w:tc>
          <w:tcPr>
            <w:tcW w:w="101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Theme="majorEastAsia" w:hAnsiTheme="majorEastAsia" w:eastAsiaTheme="majorEastAsia" w:cstheme="majorEastAsia"/>
                <w:color w:val="000000"/>
                <w:sz w:val="11"/>
                <w:szCs w:val="11"/>
              </w:rPr>
            </w:pPr>
            <w:r>
              <w:rPr>
                <w:rFonts w:hint="eastAsia" w:asciiTheme="majorEastAsia" w:hAnsiTheme="majorEastAsia" w:eastAsiaTheme="majorEastAsia" w:cstheme="majorEastAsia"/>
                <w:i w:val="0"/>
                <w:iCs w:val="0"/>
                <w:color w:val="000000"/>
                <w:kern w:val="0"/>
                <w:sz w:val="11"/>
                <w:szCs w:val="11"/>
                <w:u w:val="none"/>
                <w:lang w:val="en-US" w:eastAsia="zh-CN" w:bidi="ar"/>
              </w:rPr>
              <w:t xml:space="preserve">  行政单位医疗</w:t>
            </w:r>
          </w:p>
        </w:tc>
        <w:tc>
          <w:tcPr>
            <w:tcW w:w="5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8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7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75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49" w:hRule="atLeast"/>
        </w:trPr>
        <w:tc>
          <w:tcPr>
            <w:tcW w:w="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012"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59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15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75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81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注：本表反映部门本年度取得的各项收入情况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jc w:val="center"/>
        <w:rPr>
          <w:rFonts w:hint="eastAsia"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支出决算表</w:t>
      </w:r>
    </w:p>
    <w:p>
      <w:pPr>
        <w:rPr>
          <w:rFonts w:ascii="宋体" w:hAnsi="宋体" w:cs="宋体"/>
          <w:b/>
          <w:bCs/>
          <w:szCs w:val="21"/>
        </w:rPr>
      </w:pPr>
      <w:r>
        <w:rPr>
          <w:rFonts w:hint="eastAsia" w:ascii="宋体" w:hAnsi="宋体" w:cs="宋体"/>
          <w:b/>
          <w:bCs/>
          <w:sz w:val="24"/>
        </w:rPr>
        <w:t xml:space="preserve">                        </w:t>
      </w:r>
      <w:r>
        <w:rPr>
          <w:rFonts w:hint="eastAsia" w:ascii="宋体" w:hAnsi="宋体" w:cs="宋体"/>
          <w:b/>
          <w:bCs/>
          <w:szCs w:val="21"/>
        </w:rPr>
        <w:t xml:space="preserve">                                               公开03表</w:t>
      </w:r>
    </w:p>
    <w:p>
      <w:pPr>
        <w:rPr>
          <w:rFonts w:ascii="宋体" w:hAnsi="宋体" w:cs="宋体"/>
          <w:b/>
          <w:bCs/>
          <w:sz w:val="48"/>
          <w:szCs w:val="48"/>
        </w:rPr>
      </w:pPr>
      <w:r>
        <w:rPr>
          <w:rFonts w:hint="eastAsia" w:ascii="宋体" w:hAnsi="宋体" w:cs="宋体"/>
          <w:b/>
          <w:bCs/>
          <w:szCs w:val="21"/>
        </w:rPr>
        <w:t>编制部门：</w:t>
      </w:r>
      <w:r>
        <w:rPr>
          <w:rFonts w:hint="eastAsia" w:ascii="宋体" w:hAnsi="宋体" w:cs="宋体"/>
          <w:b/>
          <w:bCs/>
          <w:szCs w:val="21"/>
          <w:lang w:val="en-US" w:eastAsia="zh-CN"/>
        </w:rPr>
        <w:t>中共宝鸡市委机构编制委员会办公室</w:t>
      </w:r>
      <w:r>
        <w:rPr>
          <w:rFonts w:hint="eastAsia" w:ascii="宋体" w:hAnsi="宋体" w:cs="宋体"/>
          <w:b/>
          <w:bCs/>
          <w:szCs w:val="21"/>
        </w:rPr>
        <w:t xml:space="preserve">                           金额单位：万元</w:t>
      </w:r>
    </w:p>
    <w:tbl>
      <w:tblPr>
        <w:tblStyle w:val="7"/>
        <w:tblW w:w="8896" w:type="dxa"/>
        <w:tblInd w:w="0" w:type="dxa"/>
        <w:tblLayout w:type="fixed"/>
        <w:tblCellMar>
          <w:top w:w="15" w:type="dxa"/>
          <w:left w:w="15" w:type="dxa"/>
          <w:bottom w:w="15" w:type="dxa"/>
          <w:right w:w="15" w:type="dxa"/>
        </w:tblCellMar>
      </w:tblPr>
      <w:tblGrid>
        <w:gridCol w:w="914"/>
        <w:gridCol w:w="83"/>
        <w:gridCol w:w="1335"/>
        <w:gridCol w:w="1139"/>
        <w:gridCol w:w="986"/>
        <w:gridCol w:w="1077"/>
        <w:gridCol w:w="933"/>
        <w:gridCol w:w="1084"/>
        <w:gridCol w:w="1345"/>
      </w:tblGrid>
      <w:tr>
        <w:tblPrEx>
          <w:tblCellMar>
            <w:top w:w="15" w:type="dxa"/>
            <w:left w:w="15" w:type="dxa"/>
            <w:bottom w:w="15" w:type="dxa"/>
            <w:right w:w="15" w:type="dxa"/>
          </w:tblCellMar>
        </w:tblPrEx>
        <w:trPr>
          <w:trHeight w:val="372" w:hRule="atLeast"/>
        </w:trPr>
        <w:tc>
          <w:tcPr>
            <w:tcW w:w="233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113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lang w:eastAsia="zh-CN"/>
              </w:rPr>
            </w:pPr>
            <w:r>
              <w:rPr>
                <w:rFonts w:hint="eastAsia" w:ascii="宋体" w:hAnsi="宋体" w:cs="宋体"/>
                <w:b/>
                <w:color w:val="000000"/>
                <w:kern w:val="0"/>
                <w:szCs w:val="21"/>
                <w:lang w:eastAsia="zh-CN"/>
              </w:rPr>
              <w:t>本年支出</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98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7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上缴上</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级支出</w:t>
            </w:r>
          </w:p>
        </w:tc>
        <w:tc>
          <w:tcPr>
            <w:tcW w:w="1084"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经营支出</w:t>
            </w:r>
          </w:p>
        </w:tc>
        <w:tc>
          <w:tcPr>
            <w:tcW w:w="134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Cs w:val="21"/>
              </w:rPr>
            </w:pPr>
            <w:r>
              <w:rPr>
                <w:rFonts w:hint="eastAsia" w:ascii="宋体" w:hAnsi="宋体" w:cs="宋体"/>
                <w:b/>
                <w:color w:val="000000"/>
                <w:kern w:val="0"/>
                <w:szCs w:val="21"/>
              </w:rPr>
              <w:t>对附属单位</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补助支出</w:t>
            </w:r>
          </w:p>
        </w:tc>
      </w:tr>
      <w:tr>
        <w:tblPrEx>
          <w:tblCellMar>
            <w:top w:w="15" w:type="dxa"/>
            <w:left w:w="15" w:type="dxa"/>
            <w:bottom w:w="15" w:type="dxa"/>
            <w:right w:w="15" w:type="dxa"/>
          </w:tblCellMar>
        </w:tblPrEx>
        <w:trPr>
          <w:trHeight w:val="702" w:hRule="atLeast"/>
        </w:trPr>
        <w:tc>
          <w:tcPr>
            <w:tcW w:w="99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13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7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84"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4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372" w:hRule="atLeast"/>
        </w:trPr>
        <w:tc>
          <w:tcPr>
            <w:tcW w:w="233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548.83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514.54</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34.29</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一般公共服务支出</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486.50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452.21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34.29</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20110</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人力资源事务</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464.90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452.21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12.69</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2011001</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行政运行</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441.70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441.70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2011002</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一般行政管理事务</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23.20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10.51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12.69</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20111</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纪检监察事务</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2011102</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一般行政管理事务</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208</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社会保障和就业支出</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42.42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42.42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20805</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行政事业单位养老支出</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42.42</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42.42</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2080505</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机关事业单位基本养老保险缴费支出</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35.83</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35.83</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2080506</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机关事业单位职业年金缴费支出</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6.59</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6.59</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210</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卫生健康支出</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21011</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行政事业单位医疗</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bCs/>
                <w:color w:val="000000"/>
                <w:sz w:val="15"/>
                <w:szCs w:val="15"/>
                <w:lang w:val="en-US" w:eastAsia="zh-CN"/>
              </w:rPr>
            </w:pPr>
            <w:r>
              <w:rPr>
                <w:rFonts w:hint="eastAsia" w:ascii="宋体" w:hAnsi="宋体" w:eastAsia="宋体" w:cs="宋体"/>
                <w:i w:val="0"/>
                <w:iCs w:val="0"/>
                <w:color w:val="000000"/>
                <w:kern w:val="0"/>
                <w:sz w:val="15"/>
                <w:szCs w:val="15"/>
                <w:u w:val="none"/>
                <w:lang w:val="en-US" w:eastAsia="zh-CN" w:bidi="ar"/>
              </w:rPr>
              <w:t>19.91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2101101</w:t>
            </w: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行政单位医疗</w:t>
            </w:r>
          </w:p>
        </w:tc>
        <w:tc>
          <w:tcPr>
            <w:tcW w:w="11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9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107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bCs/>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72"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383" w:hRule="atLeast"/>
        </w:trPr>
        <w:tc>
          <w:tcPr>
            <w:tcW w:w="91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41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Cs w:val="21"/>
              </w:rPr>
            </w:pPr>
          </w:p>
        </w:tc>
        <w:tc>
          <w:tcPr>
            <w:tcW w:w="11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8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77"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4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注：本表反映部门本年度各项支出情况。</w:t>
      </w:r>
      <w:r>
        <w:rPr>
          <w:rFonts w:hint="eastAsia" w:ascii="宋体" w:hAnsi="宋体" w:cs="宋体"/>
          <w:color w:val="000000"/>
          <w:kern w:val="0"/>
          <w:szCs w:val="21"/>
          <w:lang w:val="en-US" w:eastAsia="zh-CN"/>
        </w:rPr>
        <w:t>本表金额转换为万元时，因四舍五入可能存在尾差。</w:t>
      </w:r>
    </w:p>
    <w:p>
      <w:pPr>
        <w:keepNext w:val="0"/>
        <w:keepLines w:val="0"/>
        <w:pageBreakBefore w:val="0"/>
        <w:widowControl w:val="0"/>
        <w:kinsoku/>
        <w:wordWrap/>
        <w:overflowPunct/>
        <w:topLinePunct w:val="0"/>
        <w:autoSpaceDE/>
        <w:autoSpaceDN/>
        <w:bidi w:val="0"/>
        <w:adjustRightInd/>
        <w:snapToGrid/>
        <w:spacing w:line="0" w:lineRule="atLeast"/>
        <w:jc w:val="center"/>
        <w:textAlignment w:val="auto"/>
        <w:outlineLvl w:val="9"/>
        <w:rPr>
          <w:rFonts w:ascii="宋体" w:hAnsi="宋体" w:cs="宋体"/>
          <w:b/>
          <w:bCs/>
          <w:sz w:val="32"/>
          <w:szCs w:val="32"/>
        </w:rPr>
      </w:pPr>
      <w:r>
        <w:rPr>
          <w:rFonts w:hint="eastAsia" w:ascii="宋体" w:hAnsi="宋体" w:cs="宋体"/>
          <w:b/>
          <w:bCs/>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公开04表</w:t>
      </w:r>
    </w:p>
    <w:p>
      <w:pPr>
        <w:keepNext w:val="0"/>
        <w:keepLines w:val="0"/>
        <w:pageBreakBefore w:val="0"/>
        <w:widowControl w:val="0"/>
        <w:kinsoku/>
        <w:wordWrap/>
        <w:overflowPunct/>
        <w:topLinePunct w:val="0"/>
        <w:autoSpaceDE/>
        <w:autoSpaceDN/>
        <w:bidi w:val="0"/>
        <w:adjustRightInd/>
        <w:snapToGrid/>
        <w:spacing w:line="0" w:lineRule="atLeast"/>
        <w:textAlignment w:val="auto"/>
        <w:outlineLvl w:val="9"/>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中共宝鸡市委机构编制委员会办公室   </w:t>
      </w:r>
      <w:r>
        <w:rPr>
          <w:rFonts w:hint="eastAsia" w:ascii="宋体" w:hAnsi="宋体" w:cs="宋体"/>
          <w:b/>
          <w:bCs/>
          <w:szCs w:val="21"/>
        </w:rPr>
        <w:t xml:space="preserve">                         金额单位：万元</w:t>
      </w:r>
    </w:p>
    <w:tbl>
      <w:tblPr>
        <w:tblStyle w:val="7"/>
        <w:tblW w:w="8965" w:type="dxa"/>
        <w:tblInd w:w="0" w:type="dxa"/>
        <w:tblLayout w:type="fixed"/>
        <w:tblCellMar>
          <w:top w:w="15" w:type="dxa"/>
          <w:left w:w="15" w:type="dxa"/>
          <w:bottom w:w="15" w:type="dxa"/>
          <w:right w:w="15" w:type="dxa"/>
        </w:tblCellMar>
      </w:tblPr>
      <w:tblGrid>
        <w:gridCol w:w="1443"/>
        <w:gridCol w:w="1038"/>
        <w:gridCol w:w="2330"/>
        <w:gridCol w:w="808"/>
        <w:gridCol w:w="1015"/>
        <w:gridCol w:w="1166"/>
        <w:gridCol w:w="1165"/>
      </w:tblGrid>
      <w:tr>
        <w:tblPrEx>
          <w:tblCellMar>
            <w:top w:w="15" w:type="dxa"/>
            <w:left w:w="15" w:type="dxa"/>
            <w:bottom w:w="15" w:type="dxa"/>
            <w:right w:w="15" w:type="dxa"/>
          </w:tblCellMar>
        </w:tblPrEx>
        <w:trPr>
          <w:trHeight w:val="276" w:hRule="atLeast"/>
        </w:trPr>
        <w:tc>
          <w:tcPr>
            <w:tcW w:w="24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收入</w:t>
            </w:r>
          </w:p>
        </w:tc>
        <w:tc>
          <w:tcPr>
            <w:tcW w:w="531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支出</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2"/>
                <w:sz w:val="18"/>
                <w:szCs w:val="18"/>
                <w:lang w:val="en-US" w:eastAsia="zh-CN" w:bidi="ar-SA"/>
              </w:rPr>
            </w:pPr>
          </w:p>
        </w:tc>
      </w:tr>
      <w:tr>
        <w:tblPrEx>
          <w:tblCellMar>
            <w:top w:w="15" w:type="dxa"/>
            <w:left w:w="15" w:type="dxa"/>
            <w:bottom w:w="15" w:type="dxa"/>
            <w:right w:w="15" w:type="dxa"/>
          </w:tblCellMar>
        </w:tblPrEx>
        <w:trPr>
          <w:trHeight w:val="523"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    目</w:t>
            </w: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决算数</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项目</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合计</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6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lang w:eastAsia="zh-CN"/>
              </w:rPr>
            </w:pPr>
            <w:r>
              <w:rPr>
                <w:rFonts w:hint="eastAsia" w:ascii="宋体" w:hAnsi="宋体" w:cs="宋体"/>
                <w:b/>
                <w:color w:val="000000"/>
                <w:kern w:val="0"/>
                <w:sz w:val="18"/>
                <w:szCs w:val="18"/>
                <w:lang w:eastAsia="zh-CN"/>
              </w:rPr>
              <w:t>国有资本经营</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lang w:eastAsia="zh-CN"/>
              </w:rPr>
              <w:t>预算财政拨款</w:t>
            </w:r>
          </w:p>
        </w:tc>
      </w:tr>
      <w:tr>
        <w:tblPrEx>
          <w:tblCellMar>
            <w:top w:w="15" w:type="dxa"/>
            <w:left w:w="15" w:type="dxa"/>
            <w:bottom w:w="15" w:type="dxa"/>
            <w:right w:w="15" w:type="dxa"/>
          </w:tblCellMar>
        </w:tblPrEx>
        <w:trPr>
          <w:trHeight w:val="410"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一般公共预算财政拨款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533.57</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一般公共服务支出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486.50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486.50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455"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ascii="宋体" w:hAnsi="宋体" w:cs="宋体"/>
                <w:color w:val="000000"/>
                <w:sz w:val="18"/>
                <w:szCs w:val="18"/>
              </w:rPr>
            </w:pPr>
            <w:r>
              <w:rPr>
                <w:rFonts w:hint="eastAsia" w:ascii="宋体" w:hAnsi="宋体" w:cs="宋体"/>
                <w:color w:val="000000"/>
                <w:kern w:val="0"/>
                <w:sz w:val="18"/>
                <w:szCs w:val="18"/>
                <w:lang w:eastAsia="zh-CN"/>
              </w:rPr>
              <w:t>2.</w:t>
            </w:r>
            <w:r>
              <w:rPr>
                <w:rFonts w:hint="eastAsia" w:ascii="宋体" w:hAnsi="宋体" w:cs="宋体"/>
                <w:color w:val="000000"/>
                <w:kern w:val="0"/>
                <w:sz w:val="18"/>
                <w:szCs w:val="18"/>
              </w:rPr>
              <w:t>政府性基金预算财政拨款</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2.</w:t>
            </w:r>
            <w:r>
              <w:rPr>
                <w:rFonts w:hint="eastAsia" w:ascii="宋体" w:hAnsi="宋体" w:cs="宋体"/>
                <w:color w:val="000000"/>
                <w:kern w:val="0"/>
                <w:sz w:val="18"/>
                <w:szCs w:val="18"/>
              </w:rPr>
              <w:t>外交支出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20"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ind w:left="180" w:hanging="180" w:hangingChars="100"/>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3.国有资本经营预算收入</w:t>
            </w:r>
          </w:p>
        </w:tc>
        <w:tc>
          <w:tcPr>
            <w:tcW w:w="103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3.</w:t>
            </w:r>
            <w:r>
              <w:rPr>
                <w:rFonts w:hint="eastAsia" w:ascii="宋体" w:hAnsi="宋体" w:cs="宋体"/>
                <w:color w:val="000000"/>
                <w:kern w:val="0"/>
                <w:sz w:val="18"/>
                <w:szCs w:val="18"/>
              </w:rPr>
              <w:t>国防支出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4.</w:t>
            </w:r>
            <w:r>
              <w:rPr>
                <w:rFonts w:hint="eastAsia" w:ascii="宋体" w:hAnsi="宋体" w:cs="宋体"/>
                <w:color w:val="000000"/>
                <w:kern w:val="0"/>
                <w:sz w:val="18"/>
                <w:szCs w:val="18"/>
              </w:rPr>
              <w:t>公共安全支出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5.</w:t>
            </w:r>
            <w:r>
              <w:rPr>
                <w:rFonts w:hint="eastAsia" w:ascii="宋体" w:hAnsi="宋体" w:cs="宋体"/>
                <w:color w:val="000000"/>
                <w:kern w:val="0"/>
                <w:sz w:val="18"/>
                <w:szCs w:val="18"/>
              </w:rPr>
              <w:t>教育支出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6.</w:t>
            </w:r>
            <w:r>
              <w:rPr>
                <w:rFonts w:hint="eastAsia" w:ascii="宋体" w:hAnsi="宋体" w:cs="宋体"/>
                <w:color w:val="000000"/>
                <w:kern w:val="0"/>
                <w:sz w:val="18"/>
                <w:szCs w:val="18"/>
              </w:rPr>
              <w:t>科学技术支出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7.</w:t>
            </w:r>
            <w:r>
              <w:rPr>
                <w:rFonts w:hint="eastAsia" w:ascii="宋体" w:hAnsi="宋体" w:cs="宋体"/>
                <w:color w:val="000000"/>
                <w:spacing w:val="-11"/>
                <w:w w:val="98"/>
                <w:kern w:val="0"/>
                <w:sz w:val="18"/>
                <w:szCs w:val="18"/>
              </w:rPr>
              <w:t>文化</w:t>
            </w:r>
            <w:r>
              <w:rPr>
                <w:rFonts w:hint="eastAsia" w:ascii="宋体" w:hAnsi="宋体" w:cs="宋体"/>
                <w:color w:val="000000"/>
                <w:spacing w:val="-11"/>
                <w:w w:val="98"/>
                <w:kern w:val="0"/>
                <w:sz w:val="18"/>
                <w:szCs w:val="18"/>
                <w:lang w:eastAsia="zh-CN"/>
              </w:rPr>
              <w:t>旅游</w:t>
            </w:r>
            <w:r>
              <w:rPr>
                <w:rFonts w:hint="eastAsia" w:ascii="宋体" w:hAnsi="宋体" w:cs="宋体"/>
                <w:color w:val="000000"/>
                <w:spacing w:val="-11"/>
                <w:w w:val="98"/>
                <w:kern w:val="0"/>
                <w:sz w:val="18"/>
                <w:szCs w:val="18"/>
              </w:rPr>
              <w:t>体育与传媒支出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8.</w:t>
            </w:r>
            <w:r>
              <w:rPr>
                <w:rFonts w:hint="eastAsia" w:ascii="宋体" w:hAnsi="宋体" w:cs="宋体"/>
                <w:color w:val="000000"/>
                <w:kern w:val="0"/>
                <w:sz w:val="18"/>
                <w:szCs w:val="18"/>
              </w:rPr>
              <w:t>社会保障和就业支出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42.42</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42.42</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eastAsia="zh-CN"/>
              </w:rPr>
              <w:t>9.卫生健康</w:t>
            </w:r>
            <w:r>
              <w:rPr>
                <w:rFonts w:hint="eastAsia" w:ascii="宋体" w:hAnsi="宋体" w:cs="宋体"/>
                <w:color w:val="000000"/>
                <w:kern w:val="0"/>
                <w:sz w:val="18"/>
                <w:szCs w:val="18"/>
              </w:rPr>
              <w:t>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19.91</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lang w:val="en-US" w:eastAsia="zh-CN"/>
              </w:rPr>
              <w:t>10.</w:t>
            </w:r>
            <w:r>
              <w:rPr>
                <w:rFonts w:hint="eastAsia" w:ascii="宋体" w:hAnsi="宋体" w:cs="宋体"/>
                <w:color w:val="000000"/>
                <w:kern w:val="0"/>
                <w:sz w:val="18"/>
                <w:szCs w:val="18"/>
              </w:rPr>
              <w:t>节能环保支出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1.</w:t>
            </w:r>
            <w:r>
              <w:rPr>
                <w:rFonts w:hint="eastAsia" w:ascii="宋体" w:hAnsi="宋体" w:cs="宋体"/>
                <w:color w:val="000000"/>
                <w:kern w:val="0"/>
                <w:sz w:val="18"/>
                <w:szCs w:val="18"/>
              </w:rPr>
              <w:t>城乡社区支出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2.</w:t>
            </w:r>
            <w:r>
              <w:rPr>
                <w:rFonts w:hint="eastAsia" w:ascii="宋体" w:hAnsi="宋体" w:cs="宋体"/>
                <w:color w:val="000000"/>
                <w:kern w:val="0"/>
                <w:sz w:val="18"/>
                <w:szCs w:val="18"/>
              </w:rPr>
              <w:t>农林水支出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3.</w:t>
            </w:r>
            <w:r>
              <w:rPr>
                <w:rFonts w:hint="eastAsia" w:ascii="宋体" w:hAnsi="宋体" w:cs="宋体"/>
                <w:color w:val="000000"/>
                <w:kern w:val="0"/>
                <w:sz w:val="18"/>
                <w:szCs w:val="18"/>
              </w:rPr>
              <w:t>交通运输支出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4.</w:t>
            </w:r>
            <w:r>
              <w:rPr>
                <w:rFonts w:hint="eastAsia" w:ascii="宋体" w:hAnsi="宋体" w:cs="宋体"/>
                <w:color w:val="000000"/>
                <w:kern w:val="0"/>
                <w:sz w:val="18"/>
                <w:szCs w:val="18"/>
              </w:rPr>
              <w:t>资源勘探信息等支出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5.</w:t>
            </w:r>
            <w:r>
              <w:rPr>
                <w:rFonts w:hint="eastAsia" w:ascii="宋体" w:hAnsi="宋体" w:cs="宋体"/>
                <w:color w:val="000000"/>
                <w:kern w:val="0"/>
                <w:sz w:val="18"/>
                <w:szCs w:val="18"/>
              </w:rPr>
              <w:t>商业服务业等支出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6.</w:t>
            </w:r>
            <w:r>
              <w:rPr>
                <w:rFonts w:hint="eastAsia" w:ascii="宋体" w:hAnsi="宋体" w:cs="宋体"/>
                <w:color w:val="000000"/>
                <w:kern w:val="0"/>
                <w:sz w:val="18"/>
                <w:szCs w:val="18"/>
              </w:rPr>
              <w:t>金融支出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7.</w:t>
            </w:r>
            <w:r>
              <w:rPr>
                <w:rFonts w:hint="eastAsia" w:ascii="宋体" w:hAnsi="宋体" w:cs="宋体"/>
                <w:color w:val="000000"/>
                <w:kern w:val="0"/>
                <w:sz w:val="18"/>
                <w:szCs w:val="18"/>
              </w:rPr>
              <w:t>援助其他地区支出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eastAsia="zh-CN"/>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eastAsia="zh-CN"/>
              </w:rPr>
              <w:t>18.自然资源海洋气象等支出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1</w:t>
            </w:r>
            <w:r>
              <w:rPr>
                <w:rFonts w:hint="eastAsia" w:ascii="宋体" w:hAnsi="宋体" w:cs="宋体"/>
                <w:color w:val="000000"/>
                <w:kern w:val="0"/>
                <w:sz w:val="18"/>
                <w:szCs w:val="18"/>
                <w:lang w:eastAsia="zh-CN"/>
              </w:rPr>
              <w:t>9.</w:t>
            </w:r>
            <w:r>
              <w:rPr>
                <w:rFonts w:hint="eastAsia" w:ascii="宋体" w:hAnsi="宋体" w:cs="宋体"/>
                <w:color w:val="000000"/>
                <w:kern w:val="0"/>
                <w:sz w:val="18"/>
                <w:szCs w:val="18"/>
              </w:rPr>
              <w:t>住房保障支出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20</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rPr>
              <w:t>粮油物资储备支出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2"/>
                <w:sz w:val="18"/>
                <w:szCs w:val="18"/>
                <w:lang w:val="en-US" w:eastAsia="zh-CN" w:bidi="ar-SA"/>
              </w:rPr>
            </w:pPr>
            <w:r>
              <w:rPr>
                <w:rFonts w:hint="eastAsia" w:ascii="宋体" w:hAnsi="宋体" w:cs="宋体"/>
                <w:color w:val="000000"/>
                <w:kern w:val="0"/>
                <w:sz w:val="18"/>
                <w:szCs w:val="18"/>
              </w:rPr>
              <w:t>2</w:t>
            </w:r>
            <w:r>
              <w:rPr>
                <w:rFonts w:hint="eastAsia" w:ascii="宋体" w:hAnsi="宋体" w:cs="宋体"/>
                <w:color w:val="000000"/>
                <w:kern w:val="0"/>
                <w:sz w:val="18"/>
                <w:szCs w:val="18"/>
                <w:lang w:eastAsia="zh-CN"/>
              </w:rPr>
              <w:t>1.国有资本经营预算支出</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color w:val="000000"/>
                <w:kern w:val="2"/>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18"/>
                <w:szCs w:val="18"/>
                <w:lang w:val="en-US" w:eastAsia="zh-CN" w:bidi="ar-SA"/>
              </w:rPr>
            </w:pPr>
            <w:r>
              <w:rPr>
                <w:rFonts w:hint="eastAsia" w:ascii="宋体" w:hAnsi="宋体" w:cs="宋体"/>
                <w:color w:val="000000"/>
                <w:kern w:val="0"/>
                <w:sz w:val="18"/>
                <w:szCs w:val="18"/>
                <w:lang w:val="en-US" w:eastAsia="zh-CN"/>
              </w:rPr>
              <w:t>22.</w:t>
            </w:r>
            <w:r>
              <w:rPr>
                <w:rFonts w:hint="eastAsia" w:ascii="宋体" w:hAnsi="宋体" w:cs="宋体"/>
                <w:color w:val="000000"/>
                <w:kern w:val="0"/>
                <w:sz w:val="18"/>
                <w:szCs w:val="18"/>
                <w:lang w:eastAsia="zh-CN"/>
              </w:rPr>
              <w:t>灾害防治及应急管理支出</w:t>
            </w:r>
          </w:p>
        </w:tc>
        <w:tc>
          <w:tcPr>
            <w:tcW w:w="808"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23.</w:t>
            </w:r>
            <w:r>
              <w:rPr>
                <w:rFonts w:hint="eastAsia" w:ascii="宋体" w:hAnsi="宋体" w:cs="宋体"/>
                <w:color w:val="000000"/>
                <w:kern w:val="0"/>
                <w:sz w:val="18"/>
                <w:szCs w:val="18"/>
                <w:lang w:eastAsia="zh-CN"/>
              </w:rPr>
              <w:t>其他支出</w:t>
            </w:r>
          </w:p>
        </w:tc>
        <w:tc>
          <w:tcPr>
            <w:tcW w:w="808"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369" w:hRule="atLeast"/>
        </w:trPr>
        <w:tc>
          <w:tcPr>
            <w:tcW w:w="144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p>
        </w:tc>
        <w:tc>
          <w:tcPr>
            <w:tcW w:w="103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8"/>
                <w:szCs w:val="18"/>
              </w:rPr>
            </w:pPr>
          </w:p>
        </w:tc>
        <w:tc>
          <w:tcPr>
            <w:tcW w:w="2330" w:type="dxa"/>
            <w:tcBorders>
              <w:top w:val="single" w:color="000000" w:sz="4" w:space="0"/>
              <w:left w:val="single" w:color="000000" w:sz="4" w:space="0"/>
              <w:bottom w:val="single" w:color="000000" w:sz="4" w:space="0"/>
              <w:right w:val="single" w:color="000000" w:sz="4" w:space="0"/>
            </w:tcBorders>
            <w:vAlign w:val="center"/>
          </w:tcPr>
          <w:p>
            <w:pPr>
              <w:widowControl/>
              <w:jc w:val="both"/>
              <w:textAlignment w:val="center"/>
              <w:rPr>
                <w:rFonts w:hint="eastAsia" w:ascii="宋体" w:hAnsi="宋体" w:cs="宋体"/>
                <w:color w:val="000000"/>
                <w:kern w:val="0"/>
                <w:sz w:val="18"/>
                <w:szCs w:val="18"/>
                <w:lang w:val="en-US" w:eastAsia="zh-CN"/>
              </w:rPr>
            </w:pPr>
            <w:r>
              <w:rPr>
                <w:rFonts w:hint="eastAsia" w:ascii="宋体" w:hAnsi="宋体" w:cs="宋体"/>
                <w:color w:val="000000"/>
                <w:kern w:val="0"/>
                <w:sz w:val="18"/>
                <w:szCs w:val="18"/>
                <w:lang w:val="en-US" w:eastAsia="zh-CN"/>
              </w:rPr>
              <w:t>24.抗疫特别国债安排的支出</w:t>
            </w:r>
          </w:p>
        </w:tc>
        <w:tc>
          <w:tcPr>
            <w:tcW w:w="808"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color w:val="000000"/>
                <w:kern w:val="0"/>
                <w:sz w:val="15"/>
                <w:szCs w:val="15"/>
                <w:lang w:val="en-US" w:eastAsia="zh-CN" w:bidi="ar-SA"/>
              </w:rPr>
            </w:pPr>
            <w:r>
              <w:rPr>
                <w:rFonts w:hint="eastAsia" w:ascii="宋体" w:hAnsi="宋体" w:eastAsia="宋体" w:cs="宋体"/>
                <w:i w:val="0"/>
                <w:iCs w:val="0"/>
                <w:color w:val="000000"/>
                <w:kern w:val="0"/>
                <w:sz w:val="15"/>
                <w:szCs w:val="15"/>
                <w:u w:val="none"/>
                <w:lang w:val="en-US" w:eastAsia="zh-CN" w:bidi="ar"/>
              </w:rPr>
              <w:t>0.00</w:t>
            </w:r>
          </w:p>
        </w:tc>
        <w:tc>
          <w:tcPr>
            <w:tcW w:w="101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6"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65" w:type="dxa"/>
            <w:tcBorders>
              <w:top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r>
    </w:tbl>
    <w:p>
      <w:pPr>
        <w:jc w:val="center"/>
        <w:rPr>
          <w:rFonts w:ascii="宋体" w:hAnsi="宋体" w:cs="宋体"/>
          <w:b/>
          <w:bCs/>
          <w:sz w:val="32"/>
          <w:szCs w:val="32"/>
        </w:rPr>
      </w:pPr>
      <w:r>
        <w:rPr>
          <w:rFonts w:hint="eastAsia" w:ascii="宋体" w:hAnsi="宋体" w:cs="宋体"/>
          <w:b/>
          <w:bCs/>
          <w:sz w:val="32"/>
          <w:szCs w:val="32"/>
        </w:rPr>
        <w:t xml:space="preserve">财政拨款收入支出决算总表 </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公开04表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中共宝鸡市委机构编制委员会办公室           </w:t>
      </w:r>
      <w:r>
        <w:rPr>
          <w:rFonts w:hint="eastAsia" w:ascii="宋体" w:hAnsi="宋体" w:cs="宋体"/>
          <w:b/>
          <w:bCs/>
          <w:szCs w:val="21"/>
        </w:rPr>
        <w:t xml:space="preserve">                 金额单位：万元</w:t>
      </w:r>
    </w:p>
    <w:tbl>
      <w:tblPr>
        <w:tblStyle w:val="7"/>
        <w:tblW w:w="8954" w:type="dxa"/>
        <w:tblInd w:w="0" w:type="dxa"/>
        <w:tblLayout w:type="fixed"/>
        <w:tblCellMar>
          <w:top w:w="15" w:type="dxa"/>
          <w:left w:w="15" w:type="dxa"/>
          <w:bottom w:w="15" w:type="dxa"/>
          <w:right w:w="15" w:type="dxa"/>
        </w:tblCellMar>
      </w:tblPr>
      <w:tblGrid>
        <w:gridCol w:w="1534"/>
        <w:gridCol w:w="958"/>
        <w:gridCol w:w="2319"/>
        <w:gridCol w:w="808"/>
        <w:gridCol w:w="1015"/>
        <w:gridCol w:w="1166"/>
        <w:gridCol w:w="1154"/>
      </w:tblGrid>
      <w:tr>
        <w:tblPrEx>
          <w:tblCellMar>
            <w:top w:w="15" w:type="dxa"/>
            <w:left w:w="15" w:type="dxa"/>
            <w:bottom w:w="15" w:type="dxa"/>
            <w:right w:w="15" w:type="dxa"/>
          </w:tblCellMar>
        </w:tblPrEx>
        <w:trPr>
          <w:trHeight w:val="607" w:hRule="atLeast"/>
        </w:trPr>
        <w:tc>
          <w:tcPr>
            <w:tcW w:w="249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收入</w:t>
            </w:r>
          </w:p>
        </w:tc>
        <w:tc>
          <w:tcPr>
            <w:tcW w:w="6462"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2"/>
                <w:sz w:val="18"/>
                <w:szCs w:val="18"/>
                <w:lang w:val="en-US" w:eastAsia="zh-CN" w:bidi="ar-SA"/>
              </w:rPr>
            </w:pPr>
            <w:r>
              <w:rPr>
                <w:rFonts w:hint="eastAsia" w:ascii="宋体" w:hAnsi="宋体" w:cs="宋体"/>
                <w:b/>
                <w:color w:val="000000"/>
                <w:kern w:val="2"/>
                <w:sz w:val="18"/>
                <w:szCs w:val="18"/>
                <w:lang w:val="en-US" w:eastAsia="zh-CN" w:bidi="ar-SA"/>
              </w:rPr>
              <w:t>支出</w:t>
            </w:r>
          </w:p>
        </w:tc>
      </w:tr>
      <w:tr>
        <w:tblPrEx>
          <w:tblCellMar>
            <w:top w:w="15" w:type="dxa"/>
            <w:left w:w="15" w:type="dxa"/>
            <w:bottom w:w="15" w:type="dxa"/>
            <w:right w:w="15" w:type="dxa"/>
          </w:tblCellMar>
        </w:tblPrEx>
        <w:trPr>
          <w:trHeight w:val="1020"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    目</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决算数</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项目</w:t>
            </w:r>
          </w:p>
        </w:tc>
        <w:tc>
          <w:tcPr>
            <w:tcW w:w="80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合计</w:t>
            </w:r>
          </w:p>
        </w:tc>
        <w:tc>
          <w:tcPr>
            <w:tcW w:w="101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一般公共预</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算财政拨款</w:t>
            </w:r>
          </w:p>
        </w:tc>
        <w:tc>
          <w:tcPr>
            <w:tcW w:w="116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政府性基金</w:t>
            </w:r>
          </w:p>
          <w:p>
            <w:pPr>
              <w:widowControl/>
              <w:jc w:val="center"/>
              <w:textAlignment w:val="center"/>
              <w:rPr>
                <w:rFonts w:hint="eastAsia" w:ascii="宋体" w:hAnsi="宋体" w:cs="宋体"/>
                <w:b/>
                <w:color w:val="000000"/>
                <w:kern w:val="0"/>
                <w:sz w:val="18"/>
                <w:szCs w:val="18"/>
              </w:rPr>
            </w:pPr>
            <w:r>
              <w:rPr>
                <w:rFonts w:hint="eastAsia" w:ascii="宋体" w:hAnsi="宋体" w:cs="宋体"/>
                <w:b/>
                <w:color w:val="000000"/>
                <w:kern w:val="0"/>
                <w:sz w:val="18"/>
                <w:szCs w:val="18"/>
              </w:rPr>
              <w:t>预算财政拨款</w:t>
            </w:r>
          </w:p>
        </w:tc>
        <w:tc>
          <w:tcPr>
            <w:tcW w:w="115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 w:val="18"/>
                <w:szCs w:val="18"/>
                <w:lang w:eastAsia="zh-CN"/>
              </w:rPr>
            </w:pPr>
            <w:r>
              <w:rPr>
                <w:rFonts w:hint="eastAsia" w:ascii="宋体" w:hAnsi="宋体" w:cs="宋体"/>
                <w:b/>
                <w:color w:val="000000"/>
                <w:kern w:val="0"/>
                <w:sz w:val="18"/>
                <w:szCs w:val="18"/>
                <w:lang w:eastAsia="zh-CN"/>
              </w:rPr>
              <w:t>国有资本经营</w:t>
            </w:r>
          </w:p>
          <w:p>
            <w:pPr>
              <w:widowControl/>
              <w:jc w:val="center"/>
              <w:textAlignment w:val="center"/>
              <w:rPr>
                <w:rFonts w:hint="eastAsia" w:ascii="宋体" w:hAnsi="宋体" w:eastAsia="宋体" w:cs="宋体"/>
                <w:b/>
                <w:color w:val="000000"/>
                <w:kern w:val="0"/>
                <w:sz w:val="18"/>
                <w:szCs w:val="18"/>
                <w:lang w:eastAsia="zh-CN"/>
              </w:rPr>
            </w:pPr>
            <w:r>
              <w:rPr>
                <w:rFonts w:hint="eastAsia" w:ascii="宋体" w:hAnsi="宋体" w:cs="宋体"/>
                <w:b/>
                <w:color w:val="000000"/>
                <w:kern w:val="0"/>
                <w:sz w:val="18"/>
                <w:szCs w:val="18"/>
                <w:lang w:eastAsia="zh-CN"/>
              </w:rPr>
              <w:t>预算财政拨款</w:t>
            </w: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本年收入合计</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ascii="宋体" w:hAnsi="宋体" w:cs="宋体"/>
                <w:color w:val="000000"/>
                <w:sz w:val="15"/>
                <w:szCs w:val="15"/>
              </w:rPr>
            </w:pPr>
            <w:r>
              <w:rPr>
                <w:rFonts w:hint="eastAsia" w:ascii="宋体" w:hAnsi="宋体" w:cs="宋体"/>
                <w:color w:val="000000"/>
                <w:kern w:val="0"/>
                <w:sz w:val="15"/>
                <w:szCs w:val="15"/>
                <w:lang w:val="en-US" w:eastAsia="zh-CN"/>
              </w:rPr>
              <w:t>551.29</w:t>
            </w:r>
            <w:r>
              <w:rPr>
                <w:rFonts w:hint="eastAsia" w:ascii="宋体" w:hAnsi="宋体" w:cs="宋体"/>
                <w:color w:val="000000"/>
                <w:kern w:val="0"/>
                <w:sz w:val="15"/>
                <w:szCs w:val="15"/>
              </w:rPr>
              <w:t xml:space="preserve"> </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 w:val="18"/>
                <w:szCs w:val="18"/>
              </w:rPr>
            </w:pPr>
            <w:r>
              <w:rPr>
                <w:rFonts w:hint="eastAsia" w:ascii="宋体" w:hAnsi="宋体" w:cs="宋体"/>
                <w:b/>
                <w:color w:val="000000"/>
                <w:kern w:val="0"/>
                <w:sz w:val="18"/>
                <w:szCs w:val="18"/>
              </w:rPr>
              <w:t>本年支出合计</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548.83</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548.83</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年初财政拨款</w:t>
            </w:r>
          </w:p>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结转和结余</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val="0"/>
                <w:bCs/>
                <w:color w:val="000000"/>
                <w:kern w:val="0"/>
                <w:sz w:val="15"/>
                <w:szCs w:val="15"/>
                <w:lang w:val="en-US" w:eastAsia="zh-CN"/>
              </w:rPr>
            </w:pPr>
            <w:r>
              <w:rPr>
                <w:rFonts w:hint="eastAsia" w:ascii="宋体" w:hAnsi="宋体" w:cs="宋体"/>
                <w:b w:val="0"/>
                <w:bCs/>
                <w:color w:val="000000"/>
                <w:kern w:val="0"/>
                <w:sz w:val="15"/>
                <w:szCs w:val="15"/>
                <w:lang w:val="en-US" w:eastAsia="zh-CN"/>
              </w:rPr>
              <w:t>17.72</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年末财政拨款</w:t>
            </w:r>
          </w:p>
          <w:p>
            <w:pPr>
              <w:widowControl/>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结转和结余</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2.46</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2.46</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center"/>
              <w:textAlignment w:val="center"/>
              <w:rPr>
                <w:rFonts w:hint="eastAsia" w:ascii="宋体" w:hAnsi="宋体" w:cs="宋体"/>
                <w:color w:val="000000"/>
                <w:kern w:val="0"/>
                <w:sz w:val="18"/>
                <w:szCs w:val="18"/>
              </w:rPr>
            </w:pPr>
            <w:r>
              <w:rPr>
                <w:rFonts w:hint="eastAsia" w:ascii="宋体" w:hAnsi="宋体" w:cs="宋体"/>
                <w:color w:val="000000"/>
                <w:kern w:val="0"/>
                <w:sz w:val="18"/>
                <w:szCs w:val="18"/>
              </w:rPr>
              <w:t>一般公共预算</w:t>
            </w:r>
          </w:p>
          <w:p>
            <w:pPr>
              <w:widowControl/>
              <w:numPr>
                <w:ilvl w:val="0"/>
                <w:numId w:val="0"/>
              </w:numPr>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right"/>
              <w:textAlignment w:val="center"/>
              <w:rPr>
                <w:rFonts w:hint="default" w:ascii="宋体" w:hAnsi="宋体" w:eastAsia="宋体" w:cs="宋体"/>
                <w:b w:val="0"/>
                <w:bCs/>
                <w:color w:val="000000"/>
                <w:kern w:val="0"/>
                <w:sz w:val="15"/>
                <w:szCs w:val="15"/>
                <w:lang w:val="en-US" w:eastAsia="zh-CN"/>
              </w:rPr>
            </w:pPr>
            <w:r>
              <w:rPr>
                <w:rFonts w:hint="eastAsia" w:ascii="宋体" w:hAnsi="宋体" w:cs="宋体"/>
                <w:b w:val="0"/>
                <w:bCs/>
                <w:color w:val="000000"/>
                <w:kern w:val="0"/>
                <w:sz w:val="15"/>
                <w:szCs w:val="15"/>
                <w:lang w:val="en-US" w:eastAsia="zh-CN"/>
              </w:rPr>
              <w:t>533.57</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5"/>
                <w:szCs w:val="15"/>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5"/>
                <w:szCs w:val="15"/>
              </w:rPr>
            </w:pPr>
          </w:p>
        </w:tc>
        <w:tc>
          <w:tcPr>
            <w:tcW w:w="115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kern w:val="0"/>
                <w:sz w:val="15"/>
                <w:szCs w:val="15"/>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rPr>
              <w:t>政府性基金预算</w:t>
            </w:r>
          </w:p>
          <w:p>
            <w:pPr>
              <w:widowControl/>
              <w:numPr>
                <w:ilvl w:val="0"/>
                <w:numId w:val="0"/>
              </w:numPr>
              <w:jc w:val="center"/>
              <w:textAlignment w:val="center"/>
              <w:rPr>
                <w:rFonts w:ascii="宋体" w:hAnsi="宋体" w:cs="宋体"/>
                <w:b/>
                <w:color w:val="000000"/>
                <w:kern w:val="0"/>
                <w:sz w:val="18"/>
                <w:szCs w:val="18"/>
              </w:rPr>
            </w:pPr>
            <w:r>
              <w:rPr>
                <w:rFonts w:hint="eastAsia" w:ascii="宋体" w:hAnsi="宋体" w:cs="宋体"/>
                <w:color w:val="000000"/>
                <w:kern w:val="0"/>
                <w:sz w:val="18"/>
                <w:szCs w:val="18"/>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5"/>
                <w:szCs w:val="15"/>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5"/>
                <w:szCs w:val="15"/>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5"/>
                <w:szCs w:val="15"/>
              </w:rPr>
            </w:pPr>
          </w:p>
        </w:tc>
        <w:tc>
          <w:tcPr>
            <w:tcW w:w="115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kern w:val="0"/>
                <w:sz w:val="15"/>
                <w:szCs w:val="15"/>
              </w:rPr>
            </w:pPr>
          </w:p>
        </w:tc>
      </w:tr>
      <w:tr>
        <w:tblPrEx>
          <w:tblCellMar>
            <w:top w:w="15" w:type="dxa"/>
            <w:left w:w="15" w:type="dxa"/>
            <w:bottom w:w="15" w:type="dxa"/>
            <w:right w:w="15" w:type="dxa"/>
          </w:tblCellMar>
        </w:tblPrEx>
        <w:trPr>
          <w:trHeight w:val="796"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ind w:left="360" w:leftChars="0" w:hanging="360" w:hangingChars="200"/>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国有资本经营</w:t>
            </w:r>
          </w:p>
          <w:p>
            <w:pPr>
              <w:widowControl/>
              <w:numPr>
                <w:ilvl w:val="0"/>
                <w:numId w:val="0"/>
              </w:numPr>
              <w:jc w:val="center"/>
              <w:textAlignment w:val="center"/>
              <w:rPr>
                <w:rFonts w:hint="eastAsia" w:ascii="宋体" w:hAnsi="宋体" w:cs="宋体"/>
                <w:color w:val="000000"/>
                <w:kern w:val="0"/>
                <w:sz w:val="18"/>
                <w:szCs w:val="18"/>
                <w:lang w:eastAsia="zh-CN"/>
              </w:rPr>
            </w:pPr>
            <w:r>
              <w:rPr>
                <w:rFonts w:hint="eastAsia" w:ascii="宋体" w:hAnsi="宋体" w:cs="宋体"/>
                <w:color w:val="000000"/>
                <w:kern w:val="0"/>
                <w:sz w:val="18"/>
                <w:szCs w:val="18"/>
                <w:lang w:eastAsia="zh-CN"/>
              </w:rPr>
              <w:t>财政拨款</w:t>
            </w:r>
          </w:p>
        </w:tc>
        <w:tc>
          <w:tcPr>
            <w:tcW w:w="9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5"/>
                <w:szCs w:val="15"/>
              </w:rPr>
            </w:pP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p>
        </w:tc>
        <w:tc>
          <w:tcPr>
            <w:tcW w:w="808"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5"/>
                <w:szCs w:val="15"/>
              </w:rPr>
            </w:pPr>
          </w:p>
        </w:tc>
        <w:tc>
          <w:tcPr>
            <w:tcW w:w="101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5"/>
                <w:szCs w:val="15"/>
              </w:rPr>
            </w:pPr>
          </w:p>
        </w:tc>
        <w:tc>
          <w:tcPr>
            <w:tcW w:w="1166"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b/>
                <w:color w:val="000000"/>
                <w:kern w:val="0"/>
                <w:sz w:val="15"/>
                <w:szCs w:val="15"/>
              </w:rPr>
            </w:pPr>
          </w:p>
        </w:tc>
        <w:tc>
          <w:tcPr>
            <w:tcW w:w="115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kern w:val="0"/>
                <w:sz w:val="15"/>
                <w:szCs w:val="15"/>
              </w:rPr>
            </w:pPr>
          </w:p>
        </w:tc>
      </w:tr>
      <w:tr>
        <w:tblPrEx>
          <w:tblCellMar>
            <w:top w:w="15" w:type="dxa"/>
            <w:left w:w="15" w:type="dxa"/>
            <w:bottom w:w="15" w:type="dxa"/>
            <w:right w:w="15" w:type="dxa"/>
          </w:tblCellMar>
        </w:tblPrEx>
        <w:trPr>
          <w:trHeight w:val="601" w:hRule="atLeast"/>
        </w:trPr>
        <w:tc>
          <w:tcPr>
            <w:tcW w:w="153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收入总计</w:t>
            </w:r>
          </w:p>
        </w:tc>
        <w:tc>
          <w:tcPr>
            <w:tcW w:w="958" w:type="dxa"/>
            <w:tcBorders>
              <w:top w:val="single" w:color="000000" w:sz="4" w:space="0"/>
              <w:left w:val="single" w:color="000000" w:sz="4" w:space="0"/>
              <w:bottom w:val="single" w:color="000000" w:sz="4" w:space="0"/>
              <w:right w:val="single" w:color="000000" w:sz="4" w:space="0"/>
            </w:tcBorders>
            <w:vAlign w:val="center"/>
          </w:tcPr>
          <w:p>
            <w:pPr>
              <w:jc w:val="right"/>
              <w:rPr>
                <w:rFonts w:hint="default" w:ascii="宋体" w:hAnsi="宋体" w:eastAsia="宋体" w:cs="宋体"/>
                <w:b/>
                <w:color w:val="000000"/>
                <w:kern w:val="0"/>
                <w:sz w:val="15"/>
                <w:szCs w:val="15"/>
                <w:lang w:val="en-US" w:eastAsia="zh-CN"/>
              </w:rPr>
            </w:pPr>
            <w:r>
              <w:rPr>
                <w:rFonts w:hint="eastAsia" w:ascii="宋体" w:hAnsi="宋体" w:cs="宋体"/>
                <w:b/>
                <w:color w:val="000000"/>
                <w:kern w:val="0"/>
                <w:sz w:val="15"/>
                <w:szCs w:val="15"/>
                <w:lang w:val="en-US" w:eastAsia="zh-CN"/>
              </w:rPr>
              <w:t>551.29</w:t>
            </w:r>
          </w:p>
        </w:tc>
        <w:tc>
          <w:tcPr>
            <w:tcW w:w="231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kern w:val="0"/>
                <w:sz w:val="18"/>
                <w:szCs w:val="18"/>
              </w:rPr>
            </w:pPr>
            <w:r>
              <w:rPr>
                <w:rFonts w:hint="eastAsia" w:ascii="宋体" w:hAnsi="宋体" w:cs="宋体"/>
                <w:b/>
                <w:color w:val="000000"/>
                <w:kern w:val="0"/>
                <w:sz w:val="18"/>
                <w:szCs w:val="18"/>
              </w:rPr>
              <w:t>支出总计</w:t>
            </w:r>
          </w:p>
        </w:tc>
        <w:tc>
          <w:tcPr>
            <w:tcW w:w="80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551.29</w:t>
            </w:r>
          </w:p>
        </w:tc>
        <w:tc>
          <w:tcPr>
            <w:tcW w:w="101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551.29</w:t>
            </w:r>
          </w:p>
        </w:tc>
        <w:tc>
          <w:tcPr>
            <w:tcW w:w="116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kern w:val="0"/>
                <w:sz w:val="15"/>
                <w:szCs w:val="15"/>
              </w:rPr>
            </w:pPr>
            <w:r>
              <w:rPr>
                <w:rFonts w:hint="eastAsia" w:ascii="宋体" w:hAnsi="宋体" w:eastAsia="宋体" w:cs="宋体"/>
                <w:i w:val="0"/>
                <w:iCs w:val="0"/>
                <w:color w:val="000000"/>
                <w:kern w:val="0"/>
                <w:sz w:val="15"/>
                <w:szCs w:val="15"/>
                <w:u w:val="none"/>
                <w:lang w:val="en-US" w:eastAsia="zh-CN" w:bidi="ar"/>
              </w:rPr>
              <w:t>0.00</w:t>
            </w:r>
          </w:p>
        </w:tc>
      </w:tr>
    </w:tbl>
    <w:p>
      <w:pPr>
        <w:rPr>
          <w:rFonts w:ascii="宋体" w:hAnsi="宋体" w:cs="宋体"/>
          <w:szCs w:val="21"/>
        </w:rPr>
      </w:pPr>
    </w:p>
    <w:p>
      <w:pPr>
        <w:keepNext w:val="0"/>
        <w:keepLines w:val="0"/>
        <w:widowControl/>
        <w:suppressLineNumbers w:val="0"/>
        <w:jc w:val="left"/>
      </w:pPr>
      <w:r>
        <w:rPr>
          <w:rFonts w:hint="eastAsia" w:ascii="宋体" w:hAnsi="宋体" w:cs="宋体"/>
          <w:szCs w:val="21"/>
        </w:rPr>
        <w:t>注：本表反映部门本年度一般公共预算财政拨款和政府性基金预算财政拨款的总收支和年末结转结余情况</w:t>
      </w:r>
      <w:r>
        <w:rPr>
          <w:rFonts w:hint="eastAsia" w:ascii="宋体" w:hAnsi="宋体" w:cs="宋体"/>
          <w:szCs w:val="21"/>
          <w:lang w:eastAsia="zh-CN"/>
        </w:rPr>
        <w:t>。</w:t>
      </w:r>
      <w:r>
        <w:rPr>
          <w:rFonts w:hint="eastAsia" w:ascii="宋体" w:hAnsi="宋体" w:cs="宋体"/>
          <w:color w:val="000000"/>
          <w:kern w:val="0"/>
          <w:szCs w:val="21"/>
          <w:lang w:val="en-US" w:eastAsia="zh-CN"/>
        </w:rPr>
        <w:t>本表金额转换为万元时，因四舍五入可能存在尾差。</w:t>
      </w:r>
    </w:p>
    <w:p>
      <w:pPr>
        <w:rPr>
          <w:rFonts w:ascii="仿宋_GB2312" w:hAnsi="仿宋_GB2312" w:eastAsia="仿宋_GB2312" w:cs="仿宋_GB2312"/>
          <w:sz w:val="32"/>
          <w:szCs w:val="32"/>
        </w:rPr>
      </w:pPr>
    </w:p>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rPr>
          <w:rFonts w:ascii="仿宋_GB2312" w:hAnsi="仿宋_GB2312" w:eastAsia="仿宋_GB2312" w:cs="仿宋_GB2312"/>
          <w:sz w:val="32"/>
          <w:szCs w:val="32"/>
        </w:rPr>
      </w:pPr>
    </w:p>
    <w:p>
      <w:pPr>
        <w:jc w:val="center"/>
        <w:rPr>
          <w:rFonts w:ascii="宋体" w:hAnsi="宋体" w:cs="宋体"/>
          <w:b/>
          <w:bCs/>
          <w:sz w:val="32"/>
          <w:szCs w:val="32"/>
        </w:rPr>
      </w:pPr>
      <w:r>
        <w:rPr>
          <w:rFonts w:hint="eastAsia" w:ascii="宋体" w:hAnsi="宋体" w:cs="宋体"/>
          <w:b/>
          <w:bCs/>
          <w:sz w:val="32"/>
          <w:szCs w:val="32"/>
        </w:rPr>
        <w:t>一般公共预算财政拨款支出决算表（按功能分类科目）</w:t>
      </w:r>
    </w:p>
    <w:p>
      <w:pPr>
        <w:rPr>
          <w:rFonts w:ascii="宋体" w:hAnsi="宋体" w:cs="宋体"/>
          <w:b/>
          <w:bCs/>
          <w:szCs w:val="21"/>
        </w:rPr>
      </w:pPr>
      <w:r>
        <w:rPr>
          <w:rFonts w:hint="eastAsia" w:ascii="宋体" w:hAnsi="宋体" w:cs="宋体"/>
          <w:b/>
          <w:bCs/>
          <w:szCs w:val="21"/>
        </w:rPr>
        <w:t xml:space="preserve">                                                                          公开05表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中共宝鸡市委机构编制委员会办公室   </w:t>
      </w:r>
      <w:r>
        <w:rPr>
          <w:rFonts w:hint="eastAsia" w:ascii="宋体" w:hAnsi="宋体" w:cs="宋体"/>
          <w:b/>
          <w:bCs/>
          <w:szCs w:val="21"/>
        </w:rPr>
        <w:t xml:space="preserve">                        金额单位：万元</w:t>
      </w:r>
    </w:p>
    <w:tbl>
      <w:tblPr>
        <w:tblStyle w:val="7"/>
        <w:tblW w:w="8777" w:type="dxa"/>
        <w:tblInd w:w="0" w:type="dxa"/>
        <w:tblLayout w:type="fixed"/>
        <w:tblCellMar>
          <w:top w:w="15" w:type="dxa"/>
          <w:left w:w="15" w:type="dxa"/>
          <w:bottom w:w="15" w:type="dxa"/>
          <w:right w:w="15" w:type="dxa"/>
        </w:tblCellMar>
      </w:tblPr>
      <w:tblGrid>
        <w:gridCol w:w="1170"/>
        <w:gridCol w:w="1753"/>
        <w:gridCol w:w="790"/>
        <w:gridCol w:w="1020"/>
        <w:gridCol w:w="935"/>
        <w:gridCol w:w="1039"/>
        <w:gridCol w:w="1391"/>
        <w:gridCol w:w="679"/>
      </w:tblGrid>
      <w:tr>
        <w:tblPrEx>
          <w:tblCellMar>
            <w:top w:w="15" w:type="dxa"/>
            <w:left w:w="15" w:type="dxa"/>
            <w:bottom w:w="15" w:type="dxa"/>
            <w:right w:w="15" w:type="dxa"/>
          </w:tblCellMar>
        </w:tblPrEx>
        <w:trPr>
          <w:trHeight w:val="414" w:hRule="atLeast"/>
        </w:trPr>
        <w:tc>
          <w:tcPr>
            <w:tcW w:w="2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7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2994"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39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6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75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7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03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39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6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14" w:hRule="atLeast"/>
        </w:trPr>
        <w:tc>
          <w:tcPr>
            <w:tcW w:w="292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Cs w:val="21"/>
              </w:rPr>
            </w:pPr>
            <w:r>
              <w:rPr>
                <w:rFonts w:hint="eastAsia" w:ascii="宋体" w:hAnsi="宋体" w:cs="宋体"/>
                <w:b/>
                <w:bCs/>
                <w:color w:val="000000"/>
                <w:kern w:val="0"/>
                <w:szCs w:val="21"/>
              </w:rPr>
              <w:t>合计</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548.83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514.54</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484.78</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29.76</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34.29</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一般公共服务支出</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486.50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452.21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422.45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29.77</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34.29</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20110</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人力资源事务</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464.90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452.21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422.45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29.77</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12.69</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781"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2011001</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行政运行</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441.70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441.70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422.45</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19.26</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2011002</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一般行政管理事务</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23.20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10.51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10.51</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12.69</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20111</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纪检监察事务</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2011102</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一般行政管理事务</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21.60</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208</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社会保障和就业支出</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42.42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42.42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42.42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20805</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行政事业单位养老支出</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42.42</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42.42</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42.42</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2080505</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机关事业单位基本养老保险缴费支出</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35.83</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35.83</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35.83</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2080506</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机关事业单位职业年金缴费支出</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6.59</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6.59</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6.59</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210</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卫生健康支出</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21011</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行政事业单位医疗</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414"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2101101</w:t>
            </w:r>
          </w:p>
        </w:tc>
        <w:tc>
          <w:tcPr>
            <w:tcW w:w="175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行政单位医疗</w:t>
            </w:r>
          </w:p>
        </w:tc>
        <w:tc>
          <w:tcPr>
            <w:tcW w:w="79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102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93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19.91</w:t>
            </w:r>
          </w:p>
        </w:tc>
        <w:tc>
          <w:tcPr>
            <w:tcW w:w="103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91"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67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p>
        </w:tc>
      </w:tr>
      <w:tr>
        <w:tblPrEx>
          <w:tblCellMar>
            <w:top w:w="15" w:type="dxa"/>
            <w:left w:w="15" w:type="dxa"/>
            <w:bottom w:w="15" w:type="dxa"/>
            <w:right w:w="15" w:type="dxa"/>
          </w:tblCellMar>
        </w:tblPrEx>
        <w:trPr>
          <w:trHeight w:val="425" w:hRule="atLeast"/>
        </w:trPr>
        <w:tc>
          <w:tcPr>
            <w:tcW w:w="117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753"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79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3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3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39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67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注：本表反映部门本年度一般公共预算财政拨款实际支出情况。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b/>
          <w:bCs/>
          <w:sz w:val="32"/>
          <w:szCs w:val="32"/>
        </w:rPr>
      </w:pPr>
      <w:r>
        <w:rPr>
          <w:rFonts w:hint="eastAsia" w:ascii="宋体" w:hAnsi="宋体" w:cs="宋体"/>
          <w:b/>
          <w:bCs/>
          <w:sz w:val="32"/>
          <w:szCs w:val="32"/>
        </w:rPr>
        <w:br w:type="page"/>
      </w:r>
    </w:p>
    <w:p>
      <w:pPr>
        <w:jc w:val="center"/>
        <w:rPr>
          <w:rFonts w:ascii="宋体" w:hAnsi="宋体" w:cs="宋体"/>
          <w:b/>
          <w:bCs/>
          <w:sz w:val="32"/>
          <w:szCs w:val="32"/>
        </w:rPr>
      </w:pPr>
      <w:r>
        <w:rPr>
          <w:rFonts w:hint="eastAsia" w:ascii="宋体" w:hAnsi="宋体" w:cs="宋体"/>
          <w:b/>
          <w:bCs/>
          <w:sz w:val="32"/>
          <w:szCs w:val="32"/>
        </w:rPr>
        <w:t>一般公共预算财政拨款基本支出决算表（按经济分类科目）</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公开06表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中共宝鸡市委机构编制委员会办公室  </w:t>
      </w:r>
      <w:r>
        <w:rPr>
          <w:rFonts w:hint="eastAsia" w:ascii="宋体" w:hAnsi="宋体" w:cs="宋体"/>
          <w:b/>
          <w:bCs/>
          <w:szCs w:val="21"/>
        </w:rPr>
        <w:t xml:space="preserve">                          金额单位：万元</w:t>
      </w:r>
    </w:p>
    <w:tbl>
      <w:tblPr>
        <w:tblStyle w:val="7"/>
        <w:tblW w:w="8817" w:type="dxa"/>
        <w:tblInd w:w="0" w:type="dxa"/>
        <w:tblLayout w:type="fixed"/>
        <w:tblCellMar>
          <w:top w:w="15" w:type="dxa"/>
          <w:left w:w="15" w:type="dxa"/>
          <w:bottom w:w="15" w:type="dxa"/>
          <w:right w:w="15" w:type="dxa"/>
        </w:tblCellMar>
      </w:tblPr>
      <w:tblGrid>
        <w:gridCol w:w="1157"/>
        <w:gridCol w:w="2046"/>
        <w:gridCol w:w="1659"/>
        <w:gridCol w:w="1437"/>
        <w:gridCol w:w="1363"/>
        <w:gridCol w:w="1155"/>
      </w:tblGrid>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65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本年支出合计</w:t>
            </w:r>
          </w:p>
        </w:tc>
        <w:tc>
          <w:tcPr>
            <w:tcW w:w="143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人员经费</w:t>
            </w:r>
          </w:p>
        </w:tc>
        <w:tc>
          <w:tcPr>
            <w:tcW w:w="1363"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公用经费</w:t>
            </w:r>
          </w:p>
        </w:tc>
        <w:tc>
          <w:tcPr>
            <w:tcW w:w="115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备注</w:t>
            </w:r>
          </w:p>
        </w:tc>
      </w:tr>
      <w:tr>
        <w:tblPrEx>
          <w:tblCellMar>
            <w:top w:w="15" w:type="dxa"/>
            <w:left w:w="15" w:type="dxa"/>
            <w:bottom w:w="15" w:type="dxa"/>
            <w:right w:w="15" w:type="dxa"/>
          </w:tblCellMar>
        </w:tblPrEx>
        <w:trPr>
          <w:trHeight w:val="670"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经济分类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204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65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3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363"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5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3203"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659"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514.54</w:t>
            </w:r>
          </w:p>
        </w:tc>
        <w:tc>
          <w:tcPr>
            <w:tcW w:w="1437"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484.78</w:t>
            </w:r>
          </w:p>
        </w:tc>
        <w:tc>
          <w:tcPr>
            <w:tcW w:w="1363" w:type="dxa"/>
            <w:tcBorders>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b/>
                <w:color w:val="000000"/>
                <w:sz w:val="15"/>
                <w:szCs w:val="15"/>
              </w:rPr>
            </w:pPr>
            <w:r>
              <w:rPr>
                <w:rFonts w:hint="eastAsia" w:ascii="宋体" w:hAnsi="宋体" w:eastAsia="宋体" w:cs="宋体"/>
                <w:i w:val="0"/>
                <w:iCs w:val="0"/>
                <w:color w:val="000000"/>
                <w:kern w:val="0"/>
                <w:sz w:val="15"/>
                <w:szCs w:val="15"/>
                <w:u w:val="none"/>
                <w:lang w:val="en-US" w:eastAsia="zh-CN" w:bidi="ar"/>
              </w:rPr>
              <w:t>29.76</w:t>
            </w:r>
          </w:p>
        </w:tc>
        <w:tc>
          <w:tcPr>
            <w:tcW w:w="1155" w:type="dxa"/>
            <w:tcBorders>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484.43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484.42</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30101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基本工资</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162.19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162.19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30102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津贴补贴</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133.57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133.57</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30103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奖金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99.03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99.03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30108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机关事业单位基本养老保险缴费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35.83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35.83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30109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职业年金缴费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6.59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6.59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30110</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职工基本医疗保险缴费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19.35</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19.35</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30112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其他社会保障缴费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0.56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0.56</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30113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住房公积金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21.68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21.68</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30199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其他工资福利支出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5.63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5.63</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商品和服务支出</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29.77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29.76</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30201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办公费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10.43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10.43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30202</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印刷费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0.97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0.97</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30211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差旅费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7.84</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7.84</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30213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维修(护)费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1.70</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1.70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30215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会议费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2.13</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2.13</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30216</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培训费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1.61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1.61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3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30217</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公务接待费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0.79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0.79</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kern w:val="0"/>
                <w:sz w:val="15"/>
                <w:szCs w:val="15"/>
              </w:rPr>
            </w:pPr>
            <w:r>
              <w:rPr>
                <w:rFonts w:hint="eastAsia" w:ascii="宋体" w:hAnsi="宋体" w:eastAsia="宋体" w:cs="宋体"/>
                <w:i w:val="0"/>
                <w:iCs w:val="0"/>
                <w:color w:val="000000"/>
                <w:kern w:val="0"/>
                <w:sz w:val="15"/>
                <w:szCs w:val="15"/>
                <w:u w:val="none"/>
                <w:lang w:val="en-US" w:eastAsia="zh-CN" w:bidi="ar"/>
              </w:rPr>
              <w:t>30228</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工会经费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2.68</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2.68</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30229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福利费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0.11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0.11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30231</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公务用车运行维护费</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1.51</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1.51</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303</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对个人和家庭的补助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0.36</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0.36</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30305</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 xml:space="preserve">  生活补助</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0.09</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0.09</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44" w:hRule="atLeast"/>
        </w:trPr>
        <w:tc>
          <w:tcPr>
            <w:tcW w:w="115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30309</w:t>
            </w:r>
          </w:p>
        </w:tc>
        <w:tc>
          <w:tcPr>
            <w:tcW w:w="204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5"/>
                <w:szCs w:val="15"/>
                <w:u w:val="none"/>
                <w:lang w:val="en-US" w:eastAsia="zh-CN" w:bidi="ar"/>
              </w:rPr>
            </w:pPr>
            <w:r>
              <w:rPr>
                <w:rFonts w:hint="eastAsia" w:ascii="宋体" w:hAnsi="宋体" w:eastAsia="宋体" w:cs="宋体"/>
                <w:i w:val="0"/>
                <w:iCs w:val="0"/>
                <w:color w:val="000000"/>
                <w:kern w:val="0"/>
                <w:sz w:val="15"/>
                <w:szCs w:val="15"/>
                <w:u w:val="none"/>
                <w:lang w:val="en-US" w:eastAsia="zh-CN" w:bidi="ar"/>
              </w:rPr>
              <w:t xml:space="preserve">  奖励金</w:t>
            </w:r>
          </w:p>
        </w:tc>
        <w:tc>
          <w:tcPr>
            <w:tcW w:w="165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0.27</w:t>
            </w:r>
          </w:p>
        </w:tc>
        <w:tc>
          <w:tcPr>
            <w:tcW w:w="143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0.27</w:t>
            </w:r>
          </w:p>
        </w:tc>
        <w:tc>
          <w:tcPr>
            <w:tcW w:w="1363"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ascii="宋体" w:hAnsi="宋体" w:cs="宋体"/>
                <w:color w:val="000000"/>
                <w:sz w:val="15"/>
                <w:szCs w:val="15"/>
              </w:rPr>
            </w:pPr>
            <w:r>
              <w:rPr>
                <w:rFonts w:hint="eastAsia" w:ascii="宋体" w:hAnsi="宋体" w:eastAsia="宋体" w:cs="宋体"/>
                <w:i w:val="0"/>
                <w:iCs w:val="0"/>
                <w:color w:val="000000"/>
                <w:kern w:val="0"/>
                <w:sz w:val="15"/>
                <w:szCs w:val="15"/>
                <w:u w:val="none"/>
                <w:lang w:val="en-US" w:eastAsia="zh-CN" w:bidi="ar"/>
              </w:rPr>
              <w:t>0.00</w:t>
            </w:r>
          </w:p>
        </w:tc>
        <w:tc>
          <w:tcPr>
            <w:tcW w:w="1155"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注：本表反映部门本年度一般公共预算财政拨款基本支出明细情况。</w:t>
      </w:r>
      <w:r>
        <w:rPr>
          <w:rFonts w:hint="eastAsia" w:ascii="宋体" w:hAnsi="宋体" w:cs="宋体"/>
          <w:color w:val="000000"/>
          <w:kern w:val="0"/>
          <w:szCs w:val="21"/>
          <w:lang w:val="en-US" w:eastAsia="zh-CN"/>
        </w:rPr>
        <w:t>本表金额转换为万元时，因四舍五入可能存在尾差。</w:t>
      </w:r>
    </w:p>
    <w:p>
      <w:pPr>
        <w:jc w:val="center"/>
        <w:rPr>
          <w:rFonts w:ascii="宋体" w:hAnsi="宋体" w:cs="宋体"/>
          <w:b/>
          <w:bCs/>
          <w:sz w:val="32"/>
          <w:szCs w:val="32"/>
        </w:rPr>
      </w:pPr>
      <w:r>
        <w:rPr>
          <w:rFonts w:hint="eastAsia" w:ascii="宋体" w:hAnsi="宋体" w:cs="宋体"/>
          <w:b/>
          <w:bCs/>
          <w:sz w:val="32"/>
          <w:szCs w:val="32"/>
        </w:rPr>
        <w:br w:type="page"/>
      </w:r>
      <w:r>
        <w:rPr>
          <w:rFonts w:hint="eastAsia" w:ascii="宋体" w:hAnsi="宋体" w:cs="宋体"/>
          <w:b/>
          <w:bCs/>
          <w:sz w:val="32"/>
          <w:szCs w:val="32"/>
        </w:rPr>
        <w:t>一般公共预算财政拨款“三公”经费</w:t>
      </w:r>
    </w:p>
    <w:p>
      <w:pPr>
        <w:spacing w:line="520" w:lineRule="exact"/>
        <w:jc w:val="center"/>
        <w:rPr>
          <w:rFonts w:ascii="宋体" w:hAnsi="宋体" w:cs="宋体"/>
          <w:b/>
          <w:bCs/>
          <w:sz w:val="32"/>
          <w:szCs w:val="32"/>
        </w:rPr>
      </w:pPr>
      <w:r>
        <w:rPr>
          <w:rFonts w:hint="eastAsia" w:ascii="宋体" w:hAnsi="宋体" w:cs="宋体"/>
          <w:b/>
          <w:bCs/>
          <w:sz w:val="32"/>
          <w:szCs w:val="32"/>
        </w:rPr>
        <w:t>及会议费、培训费支出决算表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 xml:space="preserve">        公开07表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中共宝鸡市委机构编制委员会办公室      </w:t>
      </w:r>
      <w:r>
        <w:rPr>
          <w:rFonts w:hint="eastAsia" w:ascii="宋体" w:hAnsi="宋体" w:cs="宋体"/>
          <w:b/>
          <w:bCs/>
          <w:szCs w:val="21"/>
        </w:rPr>
        <w:t xml:space="preserve">                      金额单位：万元</w:t>
      </w:r>
    </w:p>
    <w:tbl>
      <w:tblPr>
        <w:tblStyle w:val="7"/>
        <w:tblW w:w="8858" w:type="dxa"/>
        <w:tblInd w:w="0" w:type="dxa"/>
        <w:tblLayout w:type="fixed"/>
        <w:tblCellMar>
          <w:top w:w="15" w:type="dxa"/>
          <w:left w:w="15" w:type="dxa"/>
          <w:bottom w:w="15" w:type="dxa"/>
          <w:right w:w="15" w:type="dxa"/>
        </w:tblCellMar>
      </w:tblPr>
      <w:tblGrid>
        <w:gridCol w:w="1079"/>
        <w:gridCol w:w="985"/>
        <w:gridCol w:w="1117"/>
        <w:gridCol w:w="878"/>
        <w:gridCol w:w="878"/>
        <w:gridCol w:w="998"/>
        <w:gridCol w:w="1189"/>
        <w:gridCol w:w="772"/>
        <w:gridCol w:w="962"/>
      </w:tblGrid>
      <w:tr>
        <w:tblPrEx>
          <w:tblCellMar>
            <w:top w:w="15" w:type="dxa"/>
            <w:left w:w="15" w:type="dxa"/>
            <w:bottom w:w="15" w:type="dxa"/>
            <w:right w:w="15" w:type="dxa"/>
          </w:tblCellMar>
        </w:tblPrEx>
        <w:trPr>
          <w:trHeight w:val="726" w:hRule="atLeast"/>
        </w:trPr>
        <w:tc>
          <w:tcPr>
            <w:tcW w:w="107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w:t>
            </w:r>
          </w:p>
        </w:tc>
        <w:tc>
          <w:tcPr>
            <w:tcW w:w="6045" w:type="dxa"/>
            <w:gridSpan w:val="6"/>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一般公共预算财政拨款安排的“三公”经费</w:t>
            </w:r>
          </w:p>
        </w:tc>
        <w:tc>
          <w:tcPr>
            <w:tcW w:w="77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会议费</w:t>
            </w:r>
          </w:p>
        </w:tc>
        <w:tc>
          <w:tcPr>
            <w:tcW w:w="962"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培训费</w:t>
            </w: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11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因公出国（境）费用</w:t>
            </w:r>
          </w:p>
        </w:tc>
        <w:tc>
          <w:tcPr>
            <w:tcW w:w="878"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公务</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接待费</w:t>
            </w:r>
          </w:p>
        </w:tc>
        <w:tc>
          <w:tcPr>
            <w:tcW w:w="3065"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公务用车购置及运行维护费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53"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117"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公务用车购置费</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公务用车运行维护费</w:t>
            </w:r>
          </w:p>
        </w:tc>
        <w:tc>
          <w:tcPr>
            <w:tcW w:w="77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62"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726" w:hRule="atLeast"/>
        </w:trPr>
        <w:tc>
          <w:tcPr>
            <w:tcW w:w="107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1</w:t>
            </w:r>
          </w:p>
        </w:tc>
        <w:tc>
          <w:tcPr>
            <w:tcW w:w="11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2</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3</w:t>
            </w:r>
          </w:p>
        </w:tc>
        <w:tc>
          <w:tcPr>
            <w:tcW w:w="87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4</w:t>
            </w:r>
          </w:p>
        </w:tc>
        <w:tc>
          <w:tcPr>
            <w:tcW w:w="9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5</w:t>
            </w:r>
          </w:p>
        </w:tc>
        <w:tc>
          <w:tcPr>
            <w:tcW w:w="118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6</w:t>
            </w:r>
          </w:p>
        </w:tc>
        <w:tc>
          <w:tcPr>
            <w:tcW w:w="7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7</w:t>
            </w:r>
          </w:p>
        </w:tc>
        <w:tc>
          <w:tcPr>
            <w:tcW w:w="96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Cs/>
                <w:color w:val="000000"/>
                <w:szCs w:val="21"/>
              </w:rPr>
            </w:pPr>
            <w:r>
              <w:rPr>
                <w:rFonts w:hint="eastAsia" w:ascii="宋体" w:hAnsi="宋体" w:cs="宋体"/>
                <w:bCs/>
                <w:color w:val="000000"/>
                <w:kern w:val="0"/>
                <w:szCs w:val="21"/>
              </w:rPr>
              <w:t>8</w:t>
            </w:r>
          </w:p>
        </w:tc>
      </w:tr>
      <w:tr>
        <w:tblPrEx>
          <w:tblCellMar>
            <w:top w:w="15" w:type="dxa"/>
            <w:left w:w="15" w:type="dxa"/>
            <w:bottom w:w="15" w:type="dxa"/>
            <w:right w:w="15" w:type="dxa"/>
          </w:tblCellMar>
        </w:tblPrEx>
        <w:trPr>
          <w:trHeight w:val="726"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预算数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2.</w:t>
            </w:r>
            <w:r>
              <w:rPr>
                <w:rFonts w:hint="eastAsia" w:ascii="宋体" w:hAnsi="宋体" w:cs="宋体"/>
                <w:i w:val="0"/>
                <w:iCs w:val="0"/>
                <w:color w:val="000000"/>
                <w:kern w:val="0"/>
                <w:sz w:val="22"/>
                <w:szCs w:val="22"/>
                <w:u w:val="none"/>
                <w:lang w:val="en-US" w:eastAsia="zh-CN" w:bidi="ar"/>
              </w:rPr>
              <w:t>8</w:t>
            </w:r>
            <w:r>
              <w:rPr>
                <w:rFonts w:hint="eastAsia" w:ascii="宋体" w:hAnsi="宋体" w:eastAsia="宋体" w:cs="宋体"/>
                <w:i w:val="0"/>
                <w:iCs w:val="0"/>
                <w:color w:val="000000"/>
                <w:kern w:val="0"/>
                <w:sz w:val="22"/>
                <w:szCs w:val="22"/>
                <w:u w:val="none"/>
                <w:lang w:val="en-US" w:eastAsia="zh-CN" w:bidi="ar"/>
              </w:rPr>
              <w:t>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8</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color w:val="000000"/>
                <w:szCs w:val="21"/>
                <w:lang w:val="en-US" w:eastAsia="zh-CN"/>
              </w:rPr>
            </w:pPr>
            <w:r>
              <w:rPr>
                <w:rFonts w:hint="eastAsia" w:ascii="宋体" w:hAnsi="宋体" w:cs="宋体"/>
                <w:i w:val="0"/>
                <w:iCs w:val="0"/>
                <w:color w:val="000000"/>
                <w:kern w:val="0"/>
                <w:sz w:val="22"/>
                <w:szCs w:val="22"/>
                <w:u w:val="none"/>
                <w:lang w:val="en-US" w:eastAsia="zh-CN" w:bidi="ar"/>
              </w:rPr>
              <w:t>2</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color w:val="000000"/>
                <w:szCs w:val="21"/>
                <w:lang w:val="en-US" w:eastAsia="zh-CN"/>
              </w:rPr>
            </w:pPr>
            <w:r>
              <w:rPr>
                <w:rFonts w:hint="eastAsia" w:ascii="宋体" w:hAnsi="宋体" w:cs="宋体"/>
                <w:i w:val="0"/>
                <w:iCs w:val="0"/>
                <w:color w:val="000000"/>
                <w:kern w:val="0"/>
                <w:sz w:val="22"/>
                <w:szCs w:val="22"/>
                <w:u w:val="none"/>
                <w:lang w:val="en-US" w:eastAsia="zh-CN" w:bidi="ar"/>
              </w:rPr>
              <w:t>2</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000000"/>
                <w:szCs w:val="21"/>
                <w:lang w:val="en-US" w:eastAsia="zh-CN"/>
              </w:rPr>
            </w:pPr>
            <w:r>
              <w:rPr>
                <w:rFonts w:hint="eastAsia" w:ascii="宋体" w:hAnsi="宋体" w:cs="宋体"/>
                <w:i w:val="0"/>
                <w:iCs w:val="0"/>
                <w:color w:val="000000"/>
                <w:kern w:val="0"/>
                <w:sz w:val="22"/>
                <w:szCs w:val="22"/>
                <w:u w:val="none"/>
                <w:lang w:val="en-US" w:eastAsia="zh-CN" w:bidi="ar"/>
              </w:rPr>
              <w:t>2.5</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0.</w:t>
            </w:r>
            <w:r>
              <w:rPr>
                <w:rFonts w:hint="eastAsia" w:ascii="宋体" w:hAnsi="宋体" w:cs="宋体"/>
                <w:i w:val="0"/>
                <w:iCs w:val="0"/>
                <w:color w:val="000000"/>
                <w:kern w:val="0"/>
                <w:sz w:val="22"/>
                <w:szCs w:val="22"/>
                <w:u w:val="none"/>
                <w:lang w:val="en-US" w:eastAsia="zh-CN" w:bidi="ar"/>
              </w:rPr>
              <w:t>8</w:t>
            </w:r>
          </w:p>
        </w:tc>
      </w:tr>
      <w:tr>
        <w:tblPrEx>
          <w:tblCellMar>
            <w:top w:w="15" w:type="dxa"/>
            <w:left w:w="15" w:type="dxa"/>
            <w:bottom w:w="15" w:type="dxa"/>
            <w:right w:w="15" w:type="dxa"/>
          </w:tblCellMar>
        </w:tblPrEx>
        <w:trPr>
          <w:trHeight w:val="738" w:hRule="atLeast"/>
        </w:trPr>
        <w:tc>
          <w:tcPr>
            <w:tcW w:w="107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决算数</w:t>
            </w:r>
          </w:p>
        </w:tc>
        <w:tc>
          <w:tcPr>
            <w:tcW w:w="9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2.30</w:t>
            </w:r>
          </w:p>
        </w:tc>
        <w:tc>
          <w:tcPr>
            <w:tcW w:w="1117"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0.79</w:t>
            </w:r>
          </w:p>
        </w:tc>
        <w:tc>
          <w:tcPr>
            <w:tcW w:w="87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1.51</w:t>
            </w:r>
          </w:p>
        </w:tc>
        <w:tc>
          <w:tcPr>
            <w:tcW w:w="998"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eastAsia"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0.00</w:t>
            </w:r>
          </w:p>
        </w:tc>
        <w:tc>
          <w:tcPr>
            <w:tcW w:w="1189"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1.51</w:t>
            </w:r>
          </w:p>
        </w:tc>
        <w:tc>
          <w:tcPr>
            <w:tcW w:w="77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2.13</w:t>
            </w:r>
          </w:p>
        </w:tc>
        <w:tc>
          <w:tcPr>
            <w:tcW w:w="96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right"/>
              <w:textAlignment w:val="center"/>
              <w:rPr>
                <w:rFonts w:hint="default" w:ascii="宋体" w:hAnsi="宋体" w:eastAsia="宋体" w:cs="宋体"/>
                <w:b/>
                <w:color w:val="000000"/>
                <w:szCs w:val="21"/>
                <w:lang w:val="en-US" w:eastAsia="zh-CN"/>
              </w:rPr>
            </w:pPr>
            <w:r>
              <w:rPr>
                <w:rFonts w:hint="eastAsia" w:ascii="宋体" w:hAnsi="宋体" w:eastAsia="宋体" w:cs="宋体"/>
                <w:i w:val="0"/>
                <w:iCs w:val="0"/>
                <w:color w:val="000000"/>
                <w:kern w:val="0"/>
                <w:sz w:val="22"/>
                <w:szCs w:val="22"/>
                <w:u w:val="none"/>
                <w:lang w:val="en-US" w:eastAsia="zh-CN" w:bidi="ar"/>
              </w:rPr>
              <w:t>1.61</w:t>
            </w:r>
          </w:p>
        </w:tc>
      </w:tr>
    </w:tbl>
    <w:p>
      <w:pPr>
        <w:keepNext w:val="0"/>
        <w:keepLines w:val="0"/>
        <w:widowControl/>
        <w:suppressLineNumbers w:val="0"/>
        <w:jc w:val="left"/>
        <w:rPr>
          <w:rFonts w:hint="eastAsia" w:ascii="宋体" w:hAnsi="宋体" w:cs="宋体"/>
          <w:szCs w:val="21"/>
          <w:lang w:eastAsia="zh-CN"/>
        </w:rPr>
      </w:pPr>
      <w:r>
        <w:rPr>
          <w:rFonts w:hint="eastAsia" w:ascii="宋体" w:hAnsi="宋体" w:cs="宋体"/>
          <w:szCs w:val="21"/>
        </w:rPr>
        <w:t>注：本表反映部门本年度一般公共预算财政拨款“三公”经费、会议费、培训费的支出</w:t>
      </w:r>
      <w:r>
        <w:rPr>
          <w:rFonts w:hint="eastAsia" w:ascii="宋体" w:hAnsi="宋体" w:cs="宋体"/>
          <w:szCs w:val="21"/>
          <w:lang w:eastAsia="zh-CN"/>
        </w:rPr>
        <w:t>预决算情况</w:t>
      </w:r>
      <w:r>
        <w:rPr>
          <w:rFonts w:hint="eastAsia" w:ascii="宋体" w:hAnsi="宋体" w:cs="宋体"/>
          <w:szCs w:val="21"/>
        </w:rPr>
        <w:t>。</w:t>
      </w:r>
      <w:r>
        <w:rPr>
          <w:rFonts w:hint="eastAsia" w:ascii="宋体" w:hAnsi="宋体" w:cs="宋体"/>
          <w:szCs w:val="21"/>
          <w:lang w:eastAsia="zh-CN"/>
        </w:rPr>
        <w:t xml:space="preserve">其中，预算数为全年预算数，反映按规定程序调整后的预算数；决算数是包括当年一般公共预算财政拨款和以前年度结转资金安排的实际支出。 </w:t>
      </w:r>
      <w:r>
        <w:rPr>
          <w:rFonts w:hint="eastAsia" w:ascii="宋体" w:hAnsi="宋体" w:cs="宋体"/>
          <w:szCs w:val="21"/>
          <w:lang w:val="en-US" w:eastAsia="zh-CN"/>
        </w:rPr>
        <w:t>本表金额转换为万元时，因四舍五入可能存在尾差。</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jc w:val="center"/>
        <w:rPr>
          <w:rFonts w:ascii="宋体" w:hAnsi="宋体" w:cs="宋体"/>
          <w:b/>
          <w:bCs/>
          <w:sz w:val="32"/>
          <w:szCs w:val="32"/>
        </w:rPr>
      </w:pPr>
      <w:r>
        <w:rPr>
          <w:rFonts w:hint="eastAsia" w:ascii="宋体" w:hAnsi="宋体" w:cs="宋体"/>
          <w:b/>
          <w:bCs/>
          <w:sz w:val="32"/>
          <w:szCs w:val="32"/>
        </w:rPr>
        <w:t>政府性基金预算财政拨款收入支出决算表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公开08表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 xml:space="preserve">中共宝鸡市委机构编制委员会办公室            </w:t>
      </w:r>
      <w:r>
        <w:rPr>
          <w:rFonts w:hint="eastAsia" w:ascii="宋体" w:hAnsi="宋体" w:cs="宋体"/>
          <w:b/>
          <w:bCs/>
          <w:szCs w:val="21"/>
        </w:rPr>
        <w:t xml:space="preserve">                金额单位：万元</w:t>
      </w:r>
    </w:p>
    <w:tbl>
      <w:tblPr>
        <w:tblStyle w:val="7"/>
        <w:tblW w:w="8877" w:type="dxa"/>
        <w:tblInd w:w="0" w:type="dxa"/>
        <w:tblLayout w:type="fixed"/>
        <w:tblCellMar>
          <w:top w:w="15" w:type="dxa"/>
          <w:left w:w="15" w:type="dxa"/>
          <w:bottom w:w="15" w:type="dxa"/>
          <w:right w:w="15" w:type="dxa"/>
        </w:tblCellMar>
      </w:tblPr>
      <w:tblGrid>
        <w:gridCol w:w="1023"/>
        <w:gridCol w:w="1341"/>
        <w:gridCol w:w="1049"/>
        <w:gridCol w:w="990"/>
        <w:gridCol w:w="930"/>
        <w:gridCol w:w="1049"/>
        <w:gridCol w:w="1024"/>
        <w:gridCol w:w="1471"/>
      </w:tblGrid>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104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年初结转和结余</w:t>
            </w:r>
          </w:p>
        </w:tc>
        <w:tc>
          <w:tcPr>
            <w:tcW w:w="9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本年收入</w:t>
            </w:r>
          </w:p>
        </w:tc>
        <w:tc>
          <w:tcPr>
            <w:tcW w:w="3003"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c>
          <w:tcPr>
            <w:tcW w:w="1471"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年末结转</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和结余</w:t>
            </w:r>
          </w:p>
        </w:tc>
      </w:tr>
      <w:tr>
        <w:tblPrEx>
          <w:tblCellMar>
            <w:top w:w="15" w:type="dxa"/>
            <w:left w:w="15" w:type="dxa"/>
            <w:bottom w:w="15" w:type="dxa"/>
            <w:right w:w="15" w:type="dxa"/>
          </w:tblCellMar>
        </w:tblPrEx>
        <w:trPr>
          <w:trHeight w:val="88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功能分类科目编码</w:t>
            </w:r>
          </w:p>
        </w:tc>
        <w:tc>
          <w:tcPr>
            <w:tcW w:w="134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04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0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02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c>
          <w:tcPr>
            <w:tcW w:w="1471"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236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049" w:type="dxa"/>
            <w:tcBorders>
              <w:top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9"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491"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r>
        <w:tblPrEx>
          <w:tblCellMar>
            <w:top w:w="15" w:type="dxa"/>
            <w:left w:w="15" w:type="dxa"/>
            <w:bottom w:w="15" w:type="dxa"/>
            <w:right w:w="15" w:type="dxa"/>
          </w:tblCellMar>
        </w:tblPrEx>
        <w:trPr>
          <w:trHeight w:val="514" w:hRule="atLeast"/>
        </w:trPr>
        <w:tc>
          <w:tcPr>
            <w:tcW w:w="1023"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34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990"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93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49"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c>
          <w:tcPr>
            <w:tcW w:w="147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r>
    </w:tbl>
    <w:p>
      <w:pPr>
        <w:keepNext w:val="0"/>
        <w:keepLines w:val="0"/>
        <w:widowControl/>
        <w:suppressLineNumbers w:val="0"/>
        <w:jc w:val="left"/>
      </w:pPr>
      <w:r>
        <w:rPr>
          <w:rFonts w:hint="eastAsia" w:ascii="宋体" w:hAnsi="宋体" w:cs="宋体"/>
          <w:szCs w:val="21"/>
        </w:rPr>
        <w:t>注：本表反映部门本年度政府性基金预算财政拨款收入</w:t>
      </w:r>
      <w:r>
        <w:rPr>
          <w:rFonts w:hint="eastAsia" w:ascii="宋体" w:hAnsi="宋体" w:cs="宋体"/>
          <w:szCs w:val="21"/>
          <w:lang w:eastAsia="zh-CN"/>
        </w:rPr>
        <w:t>、</w:t>
      </w:r>
      <w:r>
        <w:rPr>
          <w:rFonts w:hint="eastAsia" w:ascii="宋体" w:hAnsi="宋体" w:cs="宋体"/>
          <w:szCs w:val="21"/>
        </w:rPr>
        <w:t>支出及结转和结余情况。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jc w:val="center"/>
        <w:rPr>
          <w:rFonts w:hint="eastAsia" w:ascii="黑体" w:hAnsi="宋体" w:eastAsia="黑体"/>
          <w:color w:val="000000"/>
          <w:kern w:val="0"/>
          <w:sz w:val="44"/>
          <w:szCs w:val="44"/>
          <w:lang w:bidi="ar"/>
        </w:rPr>
      </w:pPr>
      <w:r>
        <w:rPr>
          <w:rFonts w:hint="eastAsia" w:ascii="黑体" w:hAnsi="宋体" w:eastAsia="黑体"/>
          <w:color w:val="000000"/>
          <w:kern w:val="0"/>
          <w:sz w:val="44"/>
          <w:szCs w:val="44"/>
          <w:lang w:bidi="ar"/>
        </w:rPr>
        <w:br w:type="page"/>
      </w:r>
    </w:p>
    <w:p>
      <w:pPr>
        <w:jc w:val="center"/>
        <w:rPr>
          <w:rFonts w:ascii="宋体" w:hAnsi="宋体" w:cs="宋体"/>
          <w:b/>
          <w:bCs/>
          <w:sz w:val="32"/>
          <w:szCs w:val="32"/>
        </w:rPr>
      </w:pPr>
      <w:r>
        <w:rPr>
          <w:rFonts w:hint="eastAsia" w:ascii="宋体" w:hAnsi="宋体" w:cs="宋体"/>
          <w:b/>
          <w:bCs/>
          <w:sz w:val="32"/>
          <w:szCs w:val="32"/>
          <w:lang w:eastAsia="zh-CN"/>
        </w:rPr>
        <w:t>国有资本经营</w:t>
      </w:r>
      <w:r>
        <w:rPr>
          <w:rFonts w:hint="eastAsia" w:ascii="宋体" w:hAnsi="宋体" w:cs="宋体"/>
          <w:b/>
          <w:bCs/>
          <w:sz w:val="32"/>
          <w:szCs w:val="32"/>
        </w:rPr>
        <w:t>预算财政拨款支出决算表</w:t>
      </w:r>
    </w:p>
    <w:p>
      <w:pPr>
        <w:rPr>
          <w:rFonts w:ascii="宋体" w:hAnsi="宋体" w:cs="宋体"/>
          <w:b/>
          <w:bCs/>
          <w:szCs w:val="21"/>
        </w:rPr>
      </w:pPr>
      <w:r>
        <w:rPr>
          <w:rFonts w:hint="eastAsia" w:ascii="宋体" w:hAnsi="宋体" w:cs="宋体"/>
          <w:sz w:val="24"/>
        </w:rPr>
        <w:t xml:space="preserve">                        </w:t>
      </w:r>
      <w:r>
        <w:rPr>
          <w:rFonts w:hint="eastAsia" w:ascii="宋体" w:hAnsi="宋体" w:cs="宋体"/>
          <w:szCs w:val="21"/>
        </w:rPr>
        <w:t xml:space="preserve">                                                </w:t>
      </w:r>
      <w:r>
        <w:rPr>
          <w:rFonts w:hint="eastAsia" w:ascii="宋体" w:hAnsi="宋体" w:cs="宋体"/>
          <w:b/>
          <w:bCs/>
          <w:szCs w:val="21"/>
        </w:rPr>
        <w:t>公开0</w:t>
      </w:r>
      <w:r>
        <w:rPr>
          <w:rFonts w:hint="eastAsia" w:ascii="宋体" w:hAnsi="宋体" w:cs="宋体"/>
          <w:b/>
          <w:bCs/>
          <w:szCs w:val="21"/>
          <w:lang w:val="en-US" w:eastAsia="zh-CN"/>
        </w:rPr>
        <w:t>9</w:t>
      </w:r>
      <w:r>
        <w:rPr>
          <w:rFonts w:hint="eastAsia" w:ascii="宋体" w:hAnsi="宋体" w:cs="宋体"/>
          <w:b/>
          <w:bCs/>
          <w:szCs w:val="21"/>
        </w:rPr>
        <w:t>表</w:t>
      </w:r>
    </w:p>
    <w:p>
      <w:pPr>
        <w:rPr>
          <w:rFonts w:ascii="宋体" w:hAnsi="宋体" w:cs="宋体"/>
          <w:b/>
          <w:bCs/>
          <w:szCs w:val="21"/>
        </w:rPr>
      </w:pPr>
      <w:r>
        <w:rPr>
          <w:rFonts w:hint="eastAsia" w:ascii="宋体" w:hAnsi="宋体" w:cs="宋体"/>
          <w:b/>
          <w:bCs/>
          <w:szCs w:val="21"/>
        </w:rPr>
        <w:t>编制部门：</w:t>
      </w:r>
      <w:r>
        <w:rPr>
          <w:rFonts w:hint="eastAsia" w:ascii="宋体" w:hAnsi="宋体" w:cs="宋体"/>
          <w:b/>
          <w:bCs/>
          <w:szCs w:val="21"/>
          <w:lang w:val="en-US" w:eastAsia="zh-CN"/>
        </w:rPr>
        <w:t>中共宝鸡市委机构编制委员会办公室</w:t>
      </w:r>
      <w:r>
        <w:rPr>
          <w:rFonts w:hint="eastAsia" w:ascii="宋体" w:hAnsi="宋体" w:cs="宋体"/>
          <w:b/>
          <w:bCs/>
          <w:szCs w:val="21"/>
        </w:rPr>
        <w:t xml:space="preserve"> </w:t>
      </w:r>
      <w:r>
        <w:rPr>
          <w:rFonts w:hint="eastAsia" w:ascii="宋体" w:hAnsi="宋体" w:cs="宋体"/>
          <w:b/>
          <w:bCs/>
          <w:szCs w:val="21"/>
          <w:lang w:val="en-US" w:eastAsia="zh-CN"/>
        </w:rPr>
        <w:t xml:space="preserve">  </w:t>
      </w:r>
      <w:r>
        <w:rPr>
          <w:rFonts w:hint="eastAsia" w:ascii="宋体" w:hAnsi="宋体" w:cs="宋体"/>
          <w:b/>
          <w:bCs/>
          <w:szCs w:val="21"/>
        </w:rPr>
        <w:t xml:space="preserve">                         金额单位：万元</w:t>
      </w:r>
    </w:p>
    <w:tbl>
      <w:tblPr>
        <w:tblStyle w:val="7"/>
        <w:tblW w:w="8873" w:type="dxa"/>
        <w:tblInd w:w="0" w:type="dxa"/>
        <w:tblLayout w:type="fixed"/>
        <w:tblCellMar>
          <w:top w:w="15" w:type="dxa"/>
          <w:left w:w="15" w:type="dxa"/>
          <w:bottom w:w="15" w:type="dxa"/>
          <w:right w:w="15" w:type="dxa"/>
        </w:tblCellMar>
      </w:tblPr>
      <w:tblGrid>
        <w:gridCol w:w="1672"/>
        <w:gridCol w:w="1870"/>
        <w:gridCol w:w="1523"/>
        <w:gridCol w:w="1881"/>
        <w:gridCol w:w="1927"/>
      </w:tblGrid>
      <w:tr>
        <w:tblPrEx>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    目</w:t>
            </w:r>
          </w:p>
        </w:tc>
        <w:tc>
          <w:tcPr>
            <w:tcW w:w="5331" w:type="dxa"/>
            <w:gridSpan w:val="3"/>
            <w:tcBorders>
              <w:top w:val="single" w:color="000000" w:sz="4" w:space="0"/>
              <w:left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本年支出</w:t>
            </w:r>
          </w:p>
        </w:tc>
      </w:tr>
      <w:tr>
        <w:tblPrEx>
          <w:tblCellMar>
            <w:top w:w="15" w:type="dxa"/>
            <w:left w:w="15" w:type="dxa"/>
            <w:bottom w:w="15" w:type="dxa"/>
            <w:right w:w="15" w:type="dxa"/>
          </w:tblCellMar>
        </w:tblPrEx>
        <w:trPr>
          <w:trHeight w:val="863"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b/>
                <w:color w:val="000000"/>
                <w:kern w:val="0"/>
                <w:szCs w:val="21"/>
              </w:rPr>
            </w:pPr>
            <w:r>
              <w:rPr>
                <w:rFonts w:hint="eastAsia" w:ascii="宋体" w:hAnsi="宋体" w:cs="宋体"/>
                <w:b/>
                <w:color w:val="000000"/>
                <w:kern w:val="0"/>
                <w:szCs w:val="21"/>
              </w:rPr>
              <w:t>功能分类</w:t>
            </w:r>
          </w:p>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科目编码</w:t>
            </w:r>
          </w:p>
        </w:tc>
        <w:tc>
          <w:tcPr>
            <w:tcW w:w="18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科目名称</w:t>
            </w:r>
          </w:p>
        </w:tc>
        <w:tc>
          <w:tcPr>
            <w:tcW w:w="152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小计</w:t>
            </w:r>
          </w:p>
        </w:tc>
        <w:tc>
          <w:tcPr>
            <w:tcW w:w="188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基本支出</w:t>
            </w:r>
          </w:p>
        </w:tc>
        <w:tc>
          <w:tcPr>
            <w:tcW w:w="192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项目支出</w:t>
            </w:r>
          </w:p>
        </w:tc>
      </w:tr>
      <w:tr>
        <w:tblPrEx>
          <w:tblCellMar>
            <w:top w:w="15" w:type="dxa"/>
            <w:left w:w="15" w:type="dxa"/>
            <w:bottom w:w="15" w:type="dxa"/>
            <w:right w:w="15" w:type="dxa"/>
          </w:tblCellMar>
        </w:tblPrEx>
        <w:trPr>
          <w:trHeight w:val="524" w:hRule="atLeast"/>
        </w:trPr>
        <w:tc>
          <w:tcPr>
            <w:tcW w:w="354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rPr>
              <w:t>合计</w:t>
            </w:r>
          </w:p>
        </w:tc>
        <w:tc>
          <w:tcPr>
            <w:tcW w:w="152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b/>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bottom"/>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30"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r>
        <w:tblPrEx>
          <w:tblCellMar>
            <w:top w:w="15" w:type="dxa"/>
            <w:left w:w="15" w:type="dxa"/>
            <w:bottom w:w="15" w:type="dxa"/>
            <w:right w:w="15" w:type="dxa"/>
          </w:tblCellMar>
        </w:tblPrEx>
        <w:trPr>
          <w:trHeight w:val="524" w:hRule="atLeast"/>
        </w:trPr>
        <w:tc>
          <w:tcPr>
            <w:tcW w:w="1672"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Cs w:val="21"/>
              </w:rPr>
            </w:pPr>
          </w:p>
        </w:tc>
        <w:tc>
          <w:tcPr>
            <w:tcW w:w="1870"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523"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881" w:type="dxa"/>
            <w:tcBorders>
              <w:top w:val="single" w:color="000000" w:sz="4" w:space="0"/>
              <w:left w:val="single" w:color="000000" w:sz="4" w:space="0"/>
              <w:bottom w:val="single" w:color="000000" w:sz="4" w:space="0"/>
              <w:right w:val="single" w:color="000000" w:sz="4" w:space="0"/>
            </w:tcBorders>
            <w:vAlign w:val="center"/>
          </w:tcPr>
          <w:p>
            <w:pPr>
              <w:jc w:val="right"/>
              <w:rPr>
                <w:rFonts w:ascii="宋体" w:hAnsi="宋体" w:cs="宋体"/>
                <w:color w:val="000000"/>
                <w:szCs w:val="21"/>
              </w:rPr>
            </w:pPr>
          </w:p>
        </w:tc>
        <w:tc>
          <w:tcPr>
            <w:tcW w:w="1927" w:type="dxa"/>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Cs w:val="21"/>
              </w:rPr>
            </w:pPr>
          </w:p>
        </w:tc>
      </w:tr>
    </w:tbl>
    <w:p>
      <w:pPr>
        <w:keepNext w:val="0"/>
        <w:keepLines w:val="0"/>
        <w:widowControl/>
        <w:suppressLineNumbers w:val="0"/>
        <w:jc w:val="left"/>
        <w:rPr>
          <w:rFonts w:hint="eastAsia" w:ascii="宋体" w:hAnsi="宋体" w:cs="宋体"/>
          <w:szCs w:val="21"/>
        </w:rPr>
      </w:pPr>
    </w:p>
    <w:p>
      <w:pPr>
        <w:keepNext w:val="0"/>
        <w:keepLines w:val="0"/>
        <w:widowControl/>
        <w:suppressLineNumbers w:val="0"/>
        <w:jc w:val="left"/>
      </w:pPr>
      <w:r>
        <w:rPr>
          <w:rFonts w:hint="eastAsia" w:ascii="宋体" w:hAnsi="宋体" w:cs="宋体"/>
          <w:szCs w:val="21"/>
        </w:rPr>
        <w:t>注：本表反映部门本年度</w:t>
      </w:r>
      <w:r>
        <w:rPr>
          <w:rFonts w:hint="eastAsia" w:ascii="宋体" w:hAnsi="宋体" w:cs="宋体"/>
          <w:szCs w:val="21"/>
          <w:lang w:eastAsia="zh-CN"/>
        </w:rPr>
        <w:t>国有资本经营</w:t>
      </w:r>
      <w:r>
        <w:rPr>
          <w:rFonts w:hint="eastAsia" w:ascii="宋体" w:hAnsi="宋体" w:cs="宋体"/>
          <w:szCs w:val="21"/>
        </w:rPr>
        <w:t>预算财政拨款支出情况。</w:t>
      </w:r>
      <w:r>
        <w:rPr>
          <w:rFonts w:hint="eastAsia" w:ascii="宋体" w:hAnsi="宋体" w:cs="宋体"/>
          <w:color w:val="000000"/>
          <w:kern w:val="0"/>
          <w:szCs w:val="21"/>
          <w:lang w:val="en-US" w:eastAsia="zh-CN"/>
        </w:rPr>
        <w:t>本表金额转换为万元时，因四舍五入可能存在尾差。</w:t>
      </w:r>
    </w:p>
    <w:p>
      <w:pPr>
        <w:rPr>
          <w:rFonts w:ascii="宋体" w:hAnsi="宋体" w:cs="宋体"/>
          <w:szCs w:val="21"/>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color w:val="000000"/>
          <w:kern w:val="0"/>
          <w:sz w:val="44"/>
          <w:szCs w:val="44"/>
          <w:lang w:eastAsia="zh-CN" w:bidi="ar"/>
        </w:rPr>
      </w:pPr>
      <w:r>
        <w:rPr>
          <w:rFonts w:hint="eastAsia" w:ascii="方正小标宋简体" w:hAnsi="方正小标宋简体" w:eastAsia="方正小标宋简体" w:cs="方正小标宋简体"/>
          <w:color w:val="000000"/>
          <w:kern w:val="0"/>
          <w:sz w:val="44"/>
          <w:szCs w:val="44"/>
          <w:lang w:bidi="ar"/>
        </w:rPr>
        <w:t xml:space="preserve">第三部分 </w:t>
      </w:r>
      <w:r>
        <w:rPr>
          <w:rFonts w:hint="eastAsia" w:ascii="方正小标宋简体" w:hAnsi="方正小标宋简体" w:eastAsia="方正小标宋简体" w:cs="方正小标宋简体"/>
          <w:color w:val="000000"/>
          <w:kern w:val="0"/>
          <w:sz w:val="44"/>
          <w:szCs w:val="44"/>
          <w:lang w:eastAsia="zh-CN" w:bidi="ar"/>
        </w:rPr>
        <w:t>2020</w:t>
      </w:r>
      <w:r>
        <w:rPr>
          <w:rFonts w:hint="eastAsia" w:ascii="方正小标宋简体" w:hAnsi="方正小标宋简体" w:eastAsia="方正小标宋简体" w:cs="方正小标宋简体"/>
          <w:color w:val="000000"/>
          <w:kern w:val="0"/>
          <w:sz w:val="44"/>
          <w:szCs w:val="44"/>
          <w:lang w:bidi="ar"/>
        </w:rPr>
        <w:t xml:space="preserve"> 年部门决算情况</w:t>
      </w:r>
      <w:r>
        <w:rPr>
          <w:rFonts w:hint="eastAsia" w:ascii="方正小标宋简体" w:hAnsi="方正小标宋简体" w:eastAsia="方正小标宋简体" w:cs="方正小标宋简体"/>
          <w:color w:val="000000"/>
          <w:kern w:val="0"/>
          <w:sz w:val="44"/>
          <w:szCs w:val="44"/>
          <w:lang w:eastAsia="zh-CN" w:bidi="ar"/>
        </w:rPr>
        <w:t>说明</w:t>
      </w:r>
    </w:p>
    <w:p>
      <w:pPr>
        <w:keepNext w:val="0"/>
        <w:keepLines w:val="0"/>
        <w:pageBreakBefore w:val="0"/>
        <w:widowControl/>
        <w:kinsoku/>
        <w:wordWrap/>
        <w:overflowPunct/>
        <w:topLinePunct w:val="0"/>
        <w:autoSpaceDE/>
        <w:autoSpaceDN/>
        <w:bidi w:val="0"/>
        <w:spacing w:line="560" w:lineRule="exact"/>
        <w:textAlignment w:val="auto"/>
        <w:rPr>
          <w:rFonts w:ascii="黑体" w:hAnsi="宋体" w:eastAsia="黑体"/>
          <w:color w:val="000000"/>
          <w:kern w:val="0"/>
          <w:sz w:val="44"/>
          <w:szCs w:val="44"/>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一、收入支出决算总体情况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snapToGrid w:val="0"/>
        <w:spacing w:line="360" w:lineRule="auto"/>
        <w:ind w:firstLine="640"/>
        <w:rPr>
          <w:rFonts w:hint="eastAsia" w:ascii="仿宋" w:hAnsi="仿宋" w:eastAsia="仿宋" w:cs="宋体"/>
          <w:sz w:val="32"/>
          <w:szCs w:val="32"/>
        </w:rPr>
      </w:pPr>
      <w:r>
        <w:rPr>
          <w:rFonts w:hint="eastAsia" w:ascii="仿宋" w:hAnsi="仿宋" w:eastAsia="仿宋" w:cs="宋体"/>
          <w:sz w:val="32"/>
          <w:szCs w:val="32"/>
        </w:rPr>
        <w:t>本年度收入总计5</w:t>
      </w:r>
      <w:r>
        <w:rPr>
          <w:rFonts w:hint="eastAsia" w:ascii="仿宋" w:hAnsi="仿宋" w:eastAsia="仿宋" w:cs="宋体"/>
          <w:sz w:val="32"/>
          <w:szCs w:val="32"/>
          <w:lang w:val="en-US" w:eastAsia="zh-CN"/>
        </w:rPr>
        <w:t>51.29</w:t>
      </w:r>
      <w:r>
        <w:rPr>
          <w:rFonts w:hint="eastAsia" w:ascii="仿宋" w:hAnsi="仿宋" w:eastAsia="仿宋" w:cs="宋体"/>
          <w:sz w:val="32"/>
          <w:szCs w:val="32"/>
        </w:rPr>
        <w:t>万元，比20</w:t>
      </w:r>
      <w:r>
        <w:rPr>
          <w:rFonts w:hint="eastAsia" w:ascii="仿宋" w:hAnsi="仿宋" w:eastAsia="仿宋" w:cs="宋体"/>
          <w:sz w:val="32"/>
          <w:szCs w:val="32"/>
          <w:lang w:val="en-US" w:eastAsia="zh-CN"/>
        </w:rPr>
        <w:t>19</w:t>
      </w:r>
      <w:r>
        <w:rPr>
          <w:rFonts w:hint="eastAsia" w:ascii="仿宋" w:hAnsi="仿宋" w:eastAsia="仿宋" w:cs="宋体"/>
          <w:sz w:val="32"/>
          <w:szCs w:val="32"/>
        </w:rPr>
        <w:t>年5</w:t>
      </w:r>
      <w:r>
        <w:rPr>
          <w:rFonts w:hint="eastAsia" w:ascii="仿宋" w:hAnsi="仿宋" w:eastAsia="仿宋" w:cs="宋体"/>
          <w:sz w:val="32"/>
          <w:szCs w:val="32"/>
          <w:lang w:val="en-US" w:eastAsia="zh-CN"/>
        </w:rPr>
        <w:t>27.94</w:t>
      </w:r>
      <w:r>
        <w:rPr>
          <w:rFonts w:hint="eastAsia" w:ascii="仿宋" w:hAnsi="仿宋" w:eastAsia="仿宋" w:cs="宋体"/>
          <w:sz w:val="32"/>
          <w:szCs w:val="32"/>
        </w:rPr>
        <w:t>万元增长了</w:t>
      </w:r>
      <w:r>
        <w:rPr>
          <w:rFonts w:hint="eastAsia" w:ascii="仿宋" w:hAnsi="仿宋" w:eastAsia="仿宋" w:cs="宋体"/>
          <w:sz w:val="32"/>
          <w:szCs w:val="32"/>
          <w:lang w:val="en-US" w:eastAsia="zh-CN"/>
        </w:rPr>
        <w:t>23.35</w:t>
      </w:r>
      <w:r>
        <w:rPr>
          <w:rFonts w:hint="eastAsia" w:ascii="仿宋" w:hAnsi="仿宋" w:eastAsia="仿宋" w:cs="宋体"/>
          <w:sz w:val="32"/>
          <w:szCs w:val="32"/>
        </w:rPr>
        <w:t>万元，原因为</w:t>
      </w:r>
      <w:r>
        <w:rPr>
          <w:rFonts w:hint="eastAsia" w:ascii="仿宋_GB2312" w:hAnsi="仿宋_GB2312" w:eastAsia="仿宋_GB2312" w:cs="仿宋_GB2312"/>
          <w:sz w:val="32"/>
          <w:szCs w:val="32"/>
        </w:rPr>
        <w:t>市级遴选增加新进人员</w:t>
      </w:r>
      <w:r>
        <w:rPr>
          <w:rFonts w:hint="eastAsia" w:ascii="仿宋" w:hAnsi="仿宋" w:eastAsia="仿宋"/>
          <w:sz w:val="32"/>
        </w:rPr>
        <w:t>，相应的工资、养老、公积金等支出增加</w:t>
      </w:r>
      <w:r>
        <w:rPr>
          <w:rFonts w:hint="eastAsia" w:ascii="仿宋_GB2312" w:hAnsi="仿宋_GB2312" w:eastAsia="仿宋_GB2312" w:cs="仿宋_GB2312"/>
          <w:sz w:val="32"/>
          <w:szCs w:val="32"/>
        </w:rPr>
        <w:t>。</w:t>
      </w:r>
    </w:p>
    <w:p>
      <w:pPr>
        <w:snapToGrid w:val="0"/>
        <w:spacing w:line="360" w:lineRule="auto"/>
        <w:ind w:firstLine="640"/>
        <w:rPr>
          <w:rFonts w:hint="eastAsia" w:ascii="仿宋" w:hAnsi="仿宋" w:eastAsia="仿宋" w:cs="宋体"/>
          <w:sz w:val="32"/>
          <w:szCs w:val="32"/>
        </w:rPr>
      </w:pPr>
      <w:r>
        <w:rPr>
          <w:rFonts w:hint="eastAsia" w:ascii="仿宋" w:hAnsi="仿宋" w:eastAsia="仿宋" w:cs="宋体"/>
          <w:sz w:val="32"/>
          <w:szCs w:val="32"/>
        </w:rPr>
        <w:t>本年度支出5</w:t>
      </w:r>
      <w:r>
        <w:rPr>
          <w:rFonts w:hint="eastAsia" w:ascii="仿宋" w:hAnsi="仿宋" w:eastAsia="仿宋" w:cs="宋体"/>
          <w:sz w:val="32"/>
          <w:szCs w:val="32"/>
          <w:lang w:val="en-US" w:eastAsia="zh-CN"/>
        </w:rPr>
        <w:t>48</w:t>
      </w:r>
      <w:r>
        <w:rPr>
          <w:rFonts w:hint="eastAsia" w:ascii="仿宋" w:hAnsi="仿宋" w:eastAsia="仿宋" w:cs="宋体"/>
          <w:sz w:val="32"/>
          <w:szCs w:val="32"/>
        </w:rPr>
        <w:t>.83万元，比201</w:t>
      </w:r>
      <w:r>
        <w:rPr>
          <w:rFonts w:hint="eastAsia" w:ascii="仿宋" w:hAnsi="仿宋" w:eastAsia="仿宋" w:cs="宋体"/>
          <w:sz w:val="32"/>
          <w:szCs w:val="32"/>
          <w:lang w:val="en-US" w:eastAsia="zh-CN"/>
        </w:rPr>
        <w:t>9</w:t>
      </w:r>
      <w:r>
        <w:rPr>
          <w:rFonts w:hint="eastAsia" w:ascii="仿宋" w:hAnsi="仿宋" w:eastAsia="仿宋" w:cs="宋体"/>
          <w:sz w:val="32"/>
          <w:szCs w:val="32"/>
        </w:rPr>
        <w:t>年5</w:t>
      </w:r>
      <w:r>
        <w:rPr>
          <w:rFonts w:hint="eastAsia" w:ascii="仿宋" w:hAnsi="仿宋" w:eastAsia="仿宋" w:cs="宋体"/>
          <w:sz w:val="32"/>
          <w:szCs w:val="32"/>
          <w:lang w:val="en-US" w:eastAsia="zh-CN"/>
        </w:rPr>
        <w:t>2</w:t>
      </w:r>
      <w:r>
        <w:rPr>
          <w:rFonts w:hint="eastAsia" w:ascii="仿宋" w:hAnsi="仿宋" w:eastAsia="仿宋" w:cs="宋体"/>
          <w:sz w:val="32"/>
          <w:szCs w:val="32"/>
        </w:rPr>
        <w:t>4.</w:t>
      </w:r>
      <w:r>
        <w:rPr>
          <w:rFonts w:hint="eastAsia" w:ascii="仿宋" w:hAnsi="仿宋" w:eastAsia="仿宋" w:cs="宋体"/>
          <w:sz w:val="32"/>
          <w:szCs w:val="32"/>
          <w:lang w:val="en-US" w:eastAsia="zh-CN"/>
        </w:rPr>
        <w:t>83</w:t>
      </w:r>
      <w:r>
        <w:rPr>
          <w:rFonts w:hint="eastAsia" w:ascii="仿宋" w:hAnsi="仿宋" w:eastAsia="仿宋" w:cs="宋体"/>
          <w:sz w:val="32"/>
          <w:szCs w:val="32"/>
        </w:rPr>
        <w:t>万元</w:t>
      </w:r>
      <w:r>
        <w:rPr>
          <w:rFonts w:hint="eastAsia" w:ascii="仿宋" w:hAnsi="仿宋" w:eastAsia="仿宋" w:cs="宋体"/>
          <w:sz w:val="32"/>
          <w:szCs w:val="32"/>
          <w:lang w:val="en-US" w:eastAsia="zh-CN"/>
        </w:rPr>
        <w:t>增加</w:t>
      </w:r>
      <w:r>
        <w:rPr>
          <w:rFonts w:hint="eastAsia" w:ascii="仿宋" w:hAnsi="仿宋" w:eastAsia="仿宋" w:cs="宋体"/>
          <w:sz w:val="32"/>
          <w:szCs w:val="32"/>
        </w:rPr>
        <w:t>了</w:t>
      </w:r>
      <w:r>
        <w:rPr>
          <w:rFonts w:hint="eastAsia" w:ascii="仿宋" w:hAnsi="仿宋" w:eastAsia="仿宋" w:cs="宋体"/>
          <w:sz w:val="32"/>
          <w:szCs w:val="32"/>
          <w:lang w:val="en-US" w:eastAsia="zh-CN"/>
        </w:rPr>
        <w:t>24</w:t>
      </w:r>
      <w:r>
        <w:rPr>
          <w:rFonts w:hint="eastAsia" w:ascii="仿宋" w:hAnsi="仿宋" w:eastAsia="仿宋" w:cs="宋体"/>
          <w:sz w:val="32"/>
          <w:szCs w:val="32"/>
        </w:rPr>
        <w:t>万元，</w:t>
      </w:r>
      <w:r>
        <w:rPr>
          <w:rFonts w:hint="eastAsia" w:ascii="仿宋" w:hAnsi="仿宋" w:eastAsia="仿宋" w:cs="宋体"/>
          <w:sz w:val="32"/>
          <w:szCs w:val="32"/>
          <w:lang w:val="en-US" w:eastAsia="zh-CN"/>
        </w:rPr>
        <w:t>增加</w:t>
      </w:r>
      <w:r>
        <w:rPr>
          <w:rFonts w:hint="eastAsia" w:ascii="仿宋" w:hAnsi="仿宋" w:eastAsia="仿宋" w:cs="宋体"/>
          <w:sz w:val="32"/>
          <w:szCs w:val="32"/>
        </w:rPr>
        <w:t>的原因是</w:t>
      </w:r>
      <w:r>
        <w:rPr>
          <w:rFonts w:hint="eastAsia" w:ascii="仿宋_GB2312" w:hAnsi="仿宋_GB2312" w:eastAsia="仿宋_GB2312" w:cs="仿宋_GB2312"/>
          <w:sz w:val="32"/>
          <w:szCs w:val="32"/>
        </w:rPr>
        <w:t>市级遴选增加新进人员</w:t>
      </w:r>
      <w:r>
        <w:rPr>
          <w:rFonts w:hint="eastAsia" w:ascii="仿宋" w:hAnsi="仿宋" w:eastAsia="仿宋"/>
          <w:sz w:val="32"/>
        </w:rPr>
        <w:t>，相应的工资、养老、公积金等支出增加</w:t>
      </w:r>
      <w:r>
        <w:rPr>
          <w:rFonts w:hint="eastAsia" w:ascii="仿宋_GB2312" w:hAnsi="仿宋_GB2312" w:eastAsia="仿宋_GB2312" w:cs="仿宋_GB2312"/>
          <w:sz w:val="32"/>
          <w:szCs w:val="32"/>
        </w:rPr>
        <w:t>。</w:t>
      </w:r>
    </w:p>
    <w:p>
      <w:pPr>
        <w:ind w:firstLine="3052" w:firstLineChars="950"/>
        <w:rPr>
          <w:rFonts w:ascii="仿宋" w:hAnsi="仿宋" w:eastAsia="仿宋" w:cs="宋体"/>
          <w:b/>
          <w:sz w:val="32"/>
          <w:szCs w:val="32"/>
        </w:rPr>
      </w:pPr>
      <w:r>
        <w:rPr>
          <w:rFonts w:hint="eastAsia" w:ascii="仿宋" w:hAnsi="仿宋" w:eastAsia="仿宋" w:cs="宋体"/>
          <w:b/>
          <w:sz w:val="32"/>
          <w:szCs w:val="32"/>
        </w:rPr>
        <w:t>收入支出决算总体情况</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宋体"/>
          <w:b/>
          <w:bCs/>
          <w:sz w:val="32"/>
          <w:szCs w:val="32"/>
        </w:rPr>
      </w:pPr>
      <w:r>
        <w:rPr>
          <w:rFonts w:ascii="仿宋" w:hAnsi="仿宋" w:eastAsia="仿宋" w:cs="宋体"/>
          <w:b/>
          <w:sz w:val="32"/>
          <w:szCs w:val="32"/>
        </w:rPr>
        <w:drawing>
          <wp:anchor distT="0" distB="0" distL="114935" distR="114935" simplePos="0" relativeHeight="251659264" behindDoc="0" locked="0" layoutInCell="1" allowOverlap="1">
            <wp:simplePos x="0" y="0"/>
            <wp:positionH relativeFrom="column">
              <wp:posOffset>647065</wp:posOffset>
            </wp:positionH>
            <wp:positionV relativeFrom="paragraph">
              <wp:posOffset>156845</wp:posOffset>
            </wp:positionV>
            <wp:extent cx="4608830" cy="2543175"/>
            <wp:effectExtent l="0" t="0" r="0" b="0"/>
            <wp:wrapSquare wrapText="bothSides"/>
            <wp:docPr id="2" name="对象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宋体"/>
          <w:b/>
          <w:bCs/>
          <w:sz w:val="32"/>
          <w:szCs w:val="32"/>
        </w:rPr>
      </w:pP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宋体"/>
          <w:b/>
          <w:bCs/>
          <w:sz w:val="32"/>
          <w:szCs w:val="32"/>
        </w:rPr>
      </w:pP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宋体"/>
          <w:b/>
          <w:bCs/>
          <w:sz w:val="32"/>
          <w:szCs w:val="32"/>
        </w:rPr>
      </w:pP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宋体"/>
          <w:b/>
          <w:bCs/>
          <w:sz w:val="32"/>
          <w:szCs w:val="32"/>
        </w:rPr>
      </w:pP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hint="eastAsia" w:ascii="仿宋" w:hAnsi="仿宋" w:eastAsia="仿宋" w:cs="宋体"/>
          <w:b/>
          <w:bCs/>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二、收入决算情况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年收入合计</w:t>
      </w:r>
      <w:r>
        <w:rPr>
          <w:rFonts w:hint="eastAsia" w:ascii="仿宋_GB2312" w:hAnsi="宋体" w:eastAsia="仿宋_GB2312" w:cs="仿宋_GB2312"/>
          <w:color w:val="000000"/>
          <w:kern w:val="0"/>
          <w:sz w:val="32"/>
          <w:szCs w:val="32"/>
          <w:lang w:val="en-US" w:eastAsia="zh-CN" w:bidi="ar"/>
        </w:rPr>
        <w:t>551.29</w:t>
      </w:r>
      <w:r>
        <w:rPr>
          <w:rFonts w:ascii="仿宋_GB2312" w:hAnsi="宋体" w:eastAsia="仿宋_GB2312" w:cs="仿宋_GB2312"/>
          <w:color w:val="000000"/>
          <w:kern w:val="0"/>
          <w:sz w:val="32"/>
          <w:szCs w:val="32"/>
          <w:lang w:bidi="ar"/>
        </w:rPr>
        <w:t>万元，其中：财政拨款收入</w:t>
      </w:r>
      <w:r>
        <w:rPr>
          <w:rFonts w:hint="eastAsia" w:ascii="仿宋_GB2312" w:hAnsi="宋体" w:eastAsia="仿宋_GB2312" w:cs="仿宋_GB2312"/>
          <w:color w:val="000000"/>
          <w:kern w:val="0"/>
          <w:sz w:val="32"/>
          <w:szCs w:val="32"/>
          <w:lang w:val="en-US" w:eastAsia="zh-CN" w:bidi="ar"/>
        </w:rPr>
        <w:t>533.57</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96.8</w:t>
      </w:r>
      <w:r>
        <w:rPr>
          <w:rFonts w:ascii="仿宋_GB2312" w:hAnsi="宋体" w:eastAsia="仿宋_GB2312" w:cs="仿宋_GB2312"/>
          <w:color w:val="000000"/>
          <w:kern w:val="0"/>
          <w:sz w:val="32"/>
          <w:szCs w:val="32"/>
          <w:lang w:bidi="ar"/>
        </w:rPr>
        <w:t>%；事业收入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%；经营收入</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 w:hAnsi="仿宋" w:eastAsia="仿宋" w:cs="宋体"/>
          <w:sz w:val="32"/>
          <w:szCs w:val="32"/>
        </w:rPr>
        <w:t>上年结转和结余</w:t>
      </w:r>
      <w:r>
        <w:rPr>
          <w:rFonts w:hint="eastAsia" w:ascii="仿宋_GB2312" w:hAnsi="宋体" w:eastAsia="仿宋_GB2312" w:cs="仿宋_GB2312"/>
          <w:color w:val="000000"/>
          <w:kern w:val="0"/>
          <w:sz w:val="32"/>
          <w:szCs w:val="32"/>
          <w:lang w:val="en-US" w:eastAsia="zh-CN" w:bidi="ar"/>
        </w:rPr>
        <w:t>17.72</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3.2</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spacing w:line="560" w:lineRule="exact"/>
        <w:ind w:firstLine="640" w:firstLineChars="200"/>
        <w:rPr>
          <w:rFonts w:ascii="仿宋" w:hAnsi="仿宋" w:eastAsia="仿宋" w:cs="宋体"/>
          <w:sz w:val="32"/>
          <w:szCs w:val="32"/>
        </w:rPr>
      </w:pPr>
      <w:r>
        <w:rPr>
          <w:rFonts w:hint="eastAsia" w:ascii="仿宋" w:hAnsi="仿宋" w:eastAsia="仿宋" w:cs="宋体"/>
          <w:sz w:val="32"/>
          <w:szCs w:val="32"/>
        </w:rPr>
        <w:t>（1）财政拨款收入</w:t>
      </w:r>
      <w:r>
        <w:rPr>
          <w:rFonts w:hint="eastAsia" w:ascii="仿宋" w:hAnsi="仿宋" w:eastAsia="仿宋" w:cs="宋体"/>
          <w:sz w:val="32"/>
          <w:szCs w:val="32"/>
          <w:lang w:val="en-US" w:eastAsia="zh-CN"/>
        </w:rPr>
        <w:t>533.57</w:t>
      </w:r>
      <w:r>
        <w:rPr>
          <w:rFonts w:hint="eastAsia" w:ascii="仿宋" w:hAnsi="仿宋" w:eastAsia="仿宋" w:cs="宋体"/>
          <w:sz w:val="32"/>
          <w:szCs w:val="32"/>
        </w:rPr>
        <w:t>万元，为市级财政当年拨付的公共预算资金财政拨款。</w:t>
      </w:r>
    </w:p>
    <w:p>
      <w:pPr>
        <w:spacing w:line="560" w:lineRule="exact"/>
        <w:ind w:firstLine="640" w:firstLineChars="200"/>
        <w:rPr>
          <w:rFonts w:hint="eastAsia" w:ascii="仿宋" w:hAnsi="仿宋" w:eastAsia="仿宋" w:cs="宋体"/>
          <w:sz w:val="32"/>
          <w:szCs w:val="32"/>
        </w:rPr>
      </w:pPr>
      <w:r>
        <w:rPr>
          <w:rFonts w:hint="eastAsia" w:ascii="仿宋" w:hAnsi="仿宋" w:eastAsia="仿宋" w:cs="宋体"/>
          <w:sz w:val="32"/>
          <w:szCs w:val="32"/>
        </w:rPr>
        <w:t>（2）上年结转和结余</w:t>
      </w:r>
      <w:r>
        <w:rPr>
          <w:rFonts w:hint="eastAsia" w:ascii="仿宋" w:hAnsi="仿宋" w:eastAsia="仿宋" w:cs="宋体"/>
          <w:sz w:val="32"/>
          <w:szCs w:val="32"/>
          <w:lang w:val="en-US" w:eastAsia="zh-CN"/>
        </w:rPr>
        <w:t>17.72</w:t>
      </w:r>
      <w:r>
        <w:rPr>
          <w:rFonts w:hint="eastAsia" w:ascii="仿宋" w:hAnsi="仿宋" w:eastAsia="仿宋" w:cs="宋体"/>
          <w:sz w:val="32"/>
          <w:szCs w:val="32"/>
        </w:rPr>
        <w:t>万元，为以前年度尚未列支，结转到本年仍按原规定用途继续使用的资金。</w:t>
      </w:r>
    </w:p>
    <w:p>
      <w:pPr>
        <w:spacing w:line="560" w:lineRule="exact"/>
        <w:ind w:firstLine="640" w:firstLineChars="200"/>
        <w:rPr>
          <w:rFonts w:hint="eastAsia" w:ascii="仿宋" w:hAnsi="仿宋" w:eastAsia="仿宋" w:cs="宋体"/>
          <w:sz w:val="32"/>
          <w:szCs w:val="32"/>
          <w:lang w:eastAsia="zh-CN"/>
        </w:rPr>
      </w:pPr>
    </w:p>
    <w:tbl>
      <w:tblPr>
        <w:tblStyle w:val="7"/>
        <w:tblpPr w:leftFromText="180" w:rightFromText="180" w:vertAnchor="text" w:horzAnchor="margin" w:tblpY="130"/>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83"/>
        <w:gridCol w:w="4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418" w:type="pct"/>
            <w:vAlign w:val="center"/>
          </w:tcPr>
          <w:p>
            <w:pPr>
              <w:tabs>
                <w:tab w:val="center" w:pos="4153"/>
                <w:tab w:val="right" w:pos="8306"/>
              </w:tabs>
              <w:snapToGrid w:val="0"/>
              <w:spacing w:line="240" w:lineRule="auto"/>
              <w:jc w:val="center"/>
              <w:rPr>
                <w:rFonts w:ascii="仿宋" w:hAnsi="仿宋" w:eastAsia="仿宋" w:cs="宋体"/>
                <w:sz w:val="32"/>
                <w:szCs w:val="32"/>
              </w:rPr>
            </w:pPr>
            <w:r>
              <w:rPr>
                <w:rFonts w:hint="eastAsia" w:ascii="仿宋" w:hAnsi="仿宋" w:eastAsia="仿宋" w:cs="宋体"/>
                <w:sz w:val="32"/>
                <w:szCs w:val="32"/>
              </w:rPr>
              <w:t>收入构成</w:t>
            </w:r>
          </w:p>
        </w:tc>
        <w:tc>
          <w:tcPr>
            <w:tcW w:w="2581" w:type="pct"/>
            <w:vAlign w:val="center"/>
          </w:tcPr>
          <w:p>
            <w:pPr>
              <w:tabs>
                <w:tab w:val="center" w:pos="4153"/>
                <w:tab w:val="right" w:pos="8306"/>
              </w:tabs>
              <w:snapToGrid w:val="0"/>
              <w:spacing w:line="240" w:lineRule="auto"/>
              <w:jc w:val="center"/>
              <w:rPr>
                <w:rFonts w:ascii="仿宋" w:hAnsi="仿宋" w:eastAsia="仿宋" w:cs="宋体"/>
                <w:sz w:val="32"/>
                <w:szCs w:val="32"/>
              </w:rPr>
            </w:pPr>
            <w:r>
              <w:rPr>
                <w:rFonts w:hint="eastAsia" w:ascii="仿宋" w:hAnsi="仿宋" w:eastAsia="仿宋" w:cs="宋体"/>
                <w:sz w:val="32"/>
                <w:szCs w:val="32"/>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418" w:type="pct"/>
            <w:vAlign w:val="center"/>
          </w:tcPr>
          <w:p>
            <w:pPr>
              <w:tabs>
                <w:tab w:val="center" w:pos="4153"/>
                <w:tab w:val="right" w:pos="8306"/>
              </w:tabs>
              <w:snapToGrid w:val="0"/>
              <w:spacing w:line="240" w:lineRule="auto"/>
              <w:jc w:val="center"/>
              <w:rPr>
                <w:rFonts w:ascii="仿宋" w:hAnsi="仿宋" w:eastAsia="仿宋" w:cs="宋体"/>
                <w:sz w:val="32"/>
                <w:szCs w:val="32"/>
              </w:rPr>
            </w:pPr>
            <w:r>
              <w:rPr>
                <w:rFonts w:hint="eastAsia" w:ascii="仿宋" w:hAnsi="仿宋" w:eastAsia="仿宋" w:cs="宋体"/>
                <w:sz w:val="32"/>
                <w:szCs w:val="32"/>
              </w:rPr>
              <w:t>财政拨款收入</w:t>
            </w:r>
          </w:p>
        </w:tc>
        <w:tc>
          <w:tcPr>
            <w:tcW w:w="2581" w:type="pct"/>
            <w:vAlign w:val="center"/>
          </w:tcPr>
          <w:p>
            <w:pPr>
              <w:tabs>
                <w:tab w:val="center" w:pos="4153"/>
                <w:tab w:val="right" w:pos="8306"/>
              </w:tabs>
              <w:snapToGrid w:val="0"/>
              <w:spacing w:line="240" w:lineRule="auto"/>
              <w:jc w:val="center"/>
              <w:rPr>
                <w:rFonts w:ascii="仿宋" w:hAnsi="仿宋" w:eastAsia="仿宋" w:cs="宋体"/>
                <w:sz w:val="32"/>
                <w:szCs w:val="32"/>
              </w:rPr>
            </w:pPr>
            <w:r>
              <w:rPr>
                <w:rFonts w:hint="eastAsia" w:ascii="仿宋" w:hAnsi="仿宋" w:eastAsia="仿宋" w:cs="宋体"/>
                <w:sz w:val="32"/>
                <w:szCs w:val="32"/>
              </w:rPr>
              <w:t>5</w:t>
            </w:r>
            <w:r>
              <w:rPr>
                <w:rFonts w:hint="eastAsia" w:ascii="仿宋" w:hAnsi="仿宋" w:eastAsia="仿宋" w:cs="宋体"/>
                <w:sz w:val="32"/>
                <w:szCs w:val="32"/>
                <w:lang w:val="en-US" w:eastAsia="zh-CN"/>
              </w:rPr>
              <w:t>33.57</w:t>
            </w:r>
            <w:r>
              <w:rPr>
                <w:rFonts w:hint="eastAsia" w:ascii="仿宋" w:hAnsi="仿宋" w:eastAsia="仿宋" w:cs="宋体"/>
                <w:sz w:val="32"/>
                <w:szCs w:val="3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418" w:type="pct"/>
            <w:vAlign w:val="center"/>
          </w:tcPr>
          <w:p>
            <w:pPr>
              <w:tabs>
                <w:tab w:val="center" w:pos="4153"/>
                <w:tab w:val="right" w:pos="8306"/>
              </w:tabs>
              <w:snapToGrid w:val="0"/>
              <w:spacing w:line="240" w:lineRule="auto"/>
              <w:jc w:val="center"/>
              <w:rPr>
                <w:rFonts w:ascii="仿宋" w:hAnsi="仿宋" w:eastAsia="仿宋" w:cs="宋体"/>
                <w:sz w:val="32"/>
                <w:szCs w:val="32"/>
              </w:rPr>
            </w:pPr>
            <w:r>
              <w:rPr>
                <w:rFonts w:hint="eastAsia" w:ascii="仿宋" w:hAnsi="仿宋" w:eastAsia="仿宋" w:cs="宋体"/>
                <w:sz w:val="32"/>
                <w:szCs w:val="32"/>
              </w:rPr>
              <w:t>上年结转和结余</w:t>
            </w:r>
          </w:p>
        </w:tc>
        <w:tc>
          <w:tcPr>
            <w:tcW w:w="2581" w:type="pct"/>
            <w:vAlign w:val="center"/>
          </w:tcPr>
          <w:p>
            <w:pPr>
              <w:tabs>
                <w:tab w:val="center" w:pos="4153"/>
                <w:tab w:val="right" w:pos="8306"/>
              </w:tabs>
              <w:snapToGrid w:val="0"/>
              <w:spacing w:line="240" w:lineRule="auto"/>
              <w:jc w:val="center"/>
              <w:rPr>
                <w:rFonts w:ascii="仿宋" w:hAnsi="仿宋" w:eastAsia="仿宋" w:cs="宋体"/>
                <w:sz w:val="32"/>
                <w:szCs w:val="32"/>
              </w:rPr>
            </w:pPr>
            <w:r>
              <w:rPr>
                <w:rFonts w:hint="eastAsia" w:ascii="仿宋" w:hAnsi="仿宋" w:eastAsia="仿宋" w:cs="宋体"/>
                <w:sz w:val="32"/>
                <w:szCs w:val="32"/>
                <w:lang w:val="en-US" w:eastAsia="zh-CN"/>
              </w:rPr>
              <w:t>17.72</w:t>
            </w:r>
            <w:r>
              <w:rPr>
                <w:rFonts w:hint="eastAsia" w:ascii="仿宋" w:hAnsi="仿宋" w:eastAsia="仿宋" w:cs="宋体"/>
                <w:sz w:val="32"/>
                <w:szCs w:val="32"/>
              </w:rPr>
              <w:t>万元</w:t>
            </w:r>
          </w:p>
        </w:tc>
      </w:tr>
    </w:tbl>
    <w:p>
      <w:pPr>
        <w:keepNext w:val="0"/>
        <w:keepLines w:val="0"/>
        <w:pageBreakBefore w:val="0"/>
        <w:widowControl/>
        <w:kinsoku/>
        <w:wordWrap/>
        <w:overflowPunct/>
        <w:topLinePunct w:val="0"/>
        <w:autoSpaceDE/>
        <w:autoSpaceDN/>
        <w:bidi w:val="0"/>
        <w:spacing w:line="560" w:lineRule="exact"/>
        <w:jc w:val="left"/>
        <w:textAlignment w:val="auto"/>
        <w:rPr>
          <w:rFonts w:hint="eastAsia"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宋体" w:eastAsia="仿宋_GB2312" w:cs="仿宋_GB2312"/>
          <w:color w:val="000000"/>
          <w:kern w:val="0"/>
          <w:sz w:val="32"/>
          <w:szCs w:val="32"/>
          <w:lang w:bidi="ar"/>
        </w:rPr>
      </w:pPr>
      <w:r>
        <w:rPr>
          <w:rFonts w:hint="eastAsia" w:ascii="黑体" w:hAnsi="黑体" w:eastAsia="黑体"/>
          <w:color w:val="000000"/>
          <w:kern w:val="0"/>
          <w:sz w:val="32"/>
          <w:szCs w:val="32"/>
        </w:rPr>
        <w:drawing>
          <wp:anchor distT="0" distB="0" distL="0" distR="0" simplePos="0" relativeHeight="251660288" behindDoc="0" locked="0" layoutInCell="1" allowOverlap="1">
            <wp:simplePos x="0" y="0"/>
            <wp:positionH relativeFrom="column">
              <wp:posOffset>406400</wp:posOffset>
            </wp:positionH>
            <wp:positionV relativeFrom="paragraph">
              <wp:posOffset>-1982470</wp:posOffset>
            </wp:positionV>
            <wp:extent cx="5080635" cy="2259965"/>
            <wp:effectExtent l="0" t="0" r="5715" b="6985"/>
            <wp:wrapSquare wrapText="bothSides"/>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rPr>
      </w:pPr>
      <w:r>
        <w:rPr>
          <w:rFonts w:hint="eastAsia" w:ascii="黑体" w:hAnsi="黑体" w:eastAsia="黑体"/>
          <w:color w:val="000000"/>
          <w:kern w:val="0"/>
          <w:sz w:val="32"/>
          <w:szCs w:val="32"/>
          <w:lang w:bidi="ar"/>
        </w:rPr>
        <w:t>三、支出决算情况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年支出合计</w:t>
      </w:r>
      <w:r>
        <w:rPr>
          <w:rFonts w:hint="eastAsia" w:ascii="仿宋_GB2312" w:hAnsi="宋体" w:eastAsia="仿宋_GB2312" w:cs="仿宋_GB2312"/>
          <w:color w:val="000000"/>
          <w:kern w:val="0"/>
          <w:sz w:val="32"/>
          <w:szCs w:val="32"/>
          <w:lang w:val="en-US" w:eastAsia="zh-CN" w:bidi="ar"/>
        </w:rPr>
        <w:t>548.83</w:t>
      </w:r>
      <w:r>
        <w:rPr>
          <w:rFonts w:ascii="仿宋_GB2312" w:hAnsi="宋体" w:eastAsia="仿宋_GB2312" w:cs="仿宋_GB2312"/>
          <w:color w:val="000000"/>
          <w:kern w:val="0"/>
          <w:sz w:val="32"/>
          <w:szCs w:val="32"/>
          <w:lang w:bidi="ar"/>
        </w:rPr>
        <w:t>万元，其中：基本支出</w:t>
      </w:r>
      <w:r>
        <w:rPr>
          <w:rFonts w:hint="eastAsia" w:ascii="仿宋_GB2312" w:hAnsi="宋体" w:eastAsia="仿宋_GB2312" w:cs="仿宋_GB2312"/>
          <w:color w:val="000000"/>
          <w:kern w:val="0"/>
          <w:sz w:val="32"/>
          <w:szCs w:val="32"/>
          <w:lang w:val="en-US" w:eastAsia="zh-CN" w:bidi="ar"/>
        </w:rPr>
        <w:t>514.54</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93.8</w:t>
      </w:r>
      <w:r>
        <w:rPr>
          <w:rFonts w:ascii="仿宋_GB2312" w:hAnsi="宋体" w:eastAsia="仿宋_GB2312" w:cs="仿宋_GB2312"/>
          <w:color w:val="000000"/>
          <w:kern w:val="0"/>
          <w:sz w:val="32"/>
          <w:szCs w:val="32"/>
          <w:lang w:bidi="ar"/>
        </w:rPr>
        <w:t>%；项目支出</w:t>
      </w:r>
      <w:r>
        <w:rPr>
          <w:rFonts w:hint="eastAsia" w:ascii="仿宋_GB2312" w:hAnsi="宋体" w:eastAsia="仿宋_GB2312" w:cs="仿宋_GB2312"/>
          <w:color w:val="000000"/>
          <w:kern w:val="0"/>
          <w:sz w:val="32"/>
          <w:szCs w:val="32"/>
          <w:lang w:val="en-US" w:eastAsia="zh-CN" w:bidi="ar"/>
        </w:rPr>
        <w:t>34.29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6.2</w:t>
      </w:r>
      <w:r>
        <w:rPr>
          <w:rFonts w:ascii="仿宋_GB2312" w:hAnsi="宋体" w:eastAsia="仿宋_GB2312" w:cs="仿宋_GB2312"/>
          <w:color w:val="000000"/>
          <w:kern w:val="0"/>
          <w:sz w:val="32"/>
          <w:szCs w:val="32"/>
          <w:lang w:bidi="ar"/>
        </w:rPr>
        <w:t>%。</w:t>
      </w:r>
    </w:p>
    <w:p>
      <w:pPr>
        <w:spacing w:line="360" w:lineRule="auto"/>
        <w:ind w:firstLine="640" w:firstLineChars="200"/>
        <w:rPr>
          <w:rFonts w:hint="eastAsia" w:ascii="仿宋" w:hAnsi="仿宋" w:eastAsia="仿宋" w:cs="宋体"/>
          <w:sz w:val="32"/>
          <w:szCs w:val="32"/>
          <w:lang w:val="en-US" w:eastAsia="zh-CN"/>
        </w:rPr>
      </w:pPr>
      <w:r>
        <w:rPr>
          <w:rFonts w:hint="eastAsia" w:ascii="仿宋" w:hAnsi="仿宋" w:eastAsia="仿宋" w:cs="宋体"/>
          <w:sz w:val="32"/>
          <w:szCs w:val="32"/>
        </w:rPr>
        <w:t>（1）基本支出</w:t>
      </w:r>
      <w:r>
        <w:rPr>
          <w:rFonts w:hint="eastAsia" w:ascii="仿宋" w:hAnsi="仿宋" w:eastAsia="仿宋" w:cs="宋体"/>
          <w:sz w:val="32"/>
          <w:szCs w:val="32"/>
          <w:lang w:val="en-US" w:eastAsia="zh-CN"/>
        </w:rPr>
        <w:t>514.54</w:t>
      </w:r>
      <w:r>
        <w:rPr>
          <w:rFonts w:hint="eastAsia" w:ascii="仿宋" w:hAnsi="仿宋" w:eastAsia="仿宋" w:cs="宋体"/>
          <w:sz w:val="32"/>
          <w:szCs w:val="32"/>
        </w:rPr>
        <w:t>万元，主要是为了保障机构正常运转，完成日常工作任务而发生的各项支出，其中：工资和福利支出4</w:t>
      </w:r>
      <w:r>
        <w:rPr>
          <w:rFonts w:hint="eastAsia" w:ascii="仿宋" w:hAnsi="仿宋" w:eastAsia="仿宋" w:cs="宋体"/>
          <w:sz w:val="32"/>
          <w:szCs w:val="32"/>
          <w:lang w:val="en-US" w:eastAsia="zh-CN"/>
        </w:rPr>
        <w:t>84.42</w:t>
      </w:r>
      <w:r>
        <w:rPr>
          <w:rFonts w:hint="eastAsia" w:ascii="仿宋" w:hAnsi="仿宋" w:eastAsia="仿宋" w:cs="宋体"/>
          <w:sz w:val="32"/>
          <w:szCs w:val="32"/>
        </w:rPr>
        <w:t>万元，商品和服务支出</w:t>
      </w:r>
      <w:r>
        <w:rPr>
          <w:rFonts w:hint="eastAsia" w:ascii="仿宋" w:hAnsi="仿宋" w:eastAsia="仿宋" w:cs="宋体"/>
          <w:sz w:val="32"/>
          <w:szCs w:val="32"/>
          <w:lang w:val="en-US" w:eastAsia="zh-CN"/>
        </w:rPr>
        <w:t>29.76</w:t>
      </w:r>
      <w:r>
        <w:rPr>
          <w:rFonts w:hint="eastAsia" w:ascii="仿宋" w:hAnsi="仿宋" w:eastAsia="仿宋" w:cs="宋体"/>
          <w:sz w:val="32"/>
          <w:szCs w:val="32"/>
        </w:rPr>
        <w:t>万元</w:t>
      </w:r>
      <w:r>
        <w:rPr>
          <w:rFonts w:hint="eastAsia" w:ascii="仿宋" w:hAnsi="仿宋" w:eastAsia="仿宋" w:cs="宋体"/>
          <w:sz w:val="32"/>
          <w:szCs w:val="32"/>
          <w:lang w:eastAsia="zh-CN"/>
        </w:rPr>
        <w:t>，</w:t>
      </w:r>
      <w:r>
        <w:rPr>
          <w:rFonts w:hint="eastAsia" w:ascii="仿宋" w:hAnsi="仿宋" w:eastAsia="仿宋" w:cs="宋体"/>
          <w:sz w:val="32"/>
          <w:szCs w:val="32"/>
          <w:lang w:val="en-US" w:eastAsia="zh-CN"/>
        </w:rPr>
        <w:t>对个人和家庭补助支出0.36</w:t>
      </w:r>
      <w:r>
        <w:rPr>
          <w:rFonts w:hint="eastAsia" w:ascii="仿宋" w:hAnsi="仿宋" w:eastAsia="仿宋" w:cs="宋体"/>
          <w:sz w:val="32"/>
          <w:szCs w:val="32"/>
        </w:rPr>
        <w:t>万元</w:t>
      </w:r>
      <w:r>
        <w:rPr>
          <w:rFonts w:hint="eastAsia" w:ascii="仿宋" w:hAnsi="仿宋" w:eastAsia="仿宋" w:cs="宋体"/>
          <w:sz w:val="32"/>
          <w:szCs w:val="32"/>
          <w:lang w:eastAsia="zh-CN"/>
        </w:rPr>
        <w:t>。</w:t>
      </w:r>
    </w:p>
    <w:p>
      <w:pPr>
        <w:spacing w:line="360" w:lineRule="auto"/>
        <w:ind w:firstLine="640" w:firstLineChars="200"/>
        <w:rPr>
          <w:rFonts w:hint="eastAsia" w:ascii="仿宋" w:hAnsi="仿宋" w:eastAsia="仿宋" w:cs="宋体"/>
          <w:sz w:val="32"/>
          <w:szCs w:val="32"/>
        </w:rPr>
      </w:pPr>
      <w:r>
        <w:rPr>
          <w:rFonts w:hint="eastAsia" w:ascii="仿宋" w:hAnsi="仿宋" w:eastAsia="仿宋" w:cs="宋体"/>
          <w:sz w:val="32"/>
          <w:szCs w:val="32"/>
        </w:rPr>
        <w:t>（2）项目支出3</w:t>
      </w:r>
      <w:r>
        <w:rPr>
          <w:rFonts w:hint="eastAsia" w:ascii="仿宋" w:hAnsi="仿宋" w:eastAsia="仿宋" w:cs="宋体"/>
          <w:sz w:val="32"/>
          <w:szCs w:val="32"/>
          <w:lang w:val="en-US" w:eastAsia="zh-CN"/>
        </w:rPr>
        <w:t>4.29</w:t>
      </w:r>
      <w:r>
        <w:rPr>
          <w:rFonts w:hint="eastAsia" w:ascii="仿宋" w:hAnsi="仿宋" w:eastAsia="仿宋" w:cs="宋体"/>
          <w:sz w:val="32"/>
          <w:szCs w:val="32"/>
        </w:rPr>
        <w:t>万元，主要是为完成特定的工作任务或事业发展目标，在基本支出之外发生的支出等。</w:t>
      </w:r>
    </w:p>
    <w:p>
      <w:pPr>
        <w:spacing w:line="360" w:lineRule="auto"/>
        <w:ind w:firstLine="640" w:firstLineChars="200"/>
        <w:rPr>
          <w:rFonts w:hint="eastAsia" w:ascii="仿宋" w:hAnsi="仿宋" w:eastAsia="仿宋" w:cs="宋体"/>
          <w:sz w:val="32"/>
          <w:szCs w:val="32"/>
        </w:rPr>
      </w:pP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宋体" w:eastAsia="仿宋_GB2312" w:cs="仿宋_GB2312"/>
          <w:color w:val="000000"/>
          <w:kern w:val="0"/>
          <w:sz w:val="32"/>
          <w:szCs w:val="32"/>
          <w:lang w:bidi="ar"/>
        </w:rPr>
      </w:pPr>
    </w:p>
    <w:p>
      <w:pPr>
        <w:keepNext w:val="0"/>
        <w:keepLines w:val="0"/>
        <w:pageBreakBefore w:val="0"/>
        <w:widowControl/>
        <w:kinsoku/>
        <w:wordWrap/>
        <w:overflowPunct/>
        <w:topLinePunct w:val="0"/>
        <w:autoSpaceDE/>
        <w:autoSpaceDN/>
        <w:bidi w:val="0"/>
        <w:spacing w:line="560" w:lineRule="exact"/>
        <w:jc w:val="left"/>
        <w:textAlignment w:val="auto"/>
        <w:rPr>
          <w:rFonts w:ascii="仿宋_GB2312" w:hAnsi="宋体" w:eastAsia="仿宋_GB2312" w:cs="仿宋_GB2312"/>
          <w:color w:val="000000"/>
          <w:kern w:val="0"/>
          <w:sz w:val="32"/>
          <w:szCs w:val="32"/>
          <w:lang w:bidi="ar"/>
        </w:rPr>
      </w:pPr>
    </w:p>
    <w:tbl>
      <w:tblPr>
        <w:tblStyle w:val="7"/>
        <w:tblpPr w:leftFromText="180" w:rightFromText="180" w:vertAnchor="text" w:horzAnchor="page" w:tblpX="2096" w:tblpY="-3808"/>
        <w:tblOverlap w:val="never"/>
        <w:tblW w:w="8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1"/>
        <w:gridCol w:w="3210"/>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571"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支出构成</w:t>
            </w:r>
          </w:p>
        </w:tc>
        <w:tc>
          <w:tcPr>
            <w:tcW w:w="3210"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科目</w:t>
            </w:r>
          </w:p>
        </w:tc>
        <w:tc>
          <w:tcPr>
            <w:tcW w:w="2298"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571" w:type="dxa"/>
            <w:vMerge w:val="restart"/>
            <w:vAlign w:val="center"/>
          </w:tcPr>
          <w:p>
            <w:pPr>
              <w:tabs>
                <w:tab w:val="center" w:pos="4153"/>
                <w:tab w:val="right" w:pos="8306"/>
              </w:tabs>
              <w:snapToGrid w:val="0"/>
              <w:spacing w:line="240" w:lineRule="auto"/>
              <w:jc w:val="center"/>
              <w:rPr>
                <w:rFonts w:hint="eastAsia" w:ascii="仿宋" w:hAnsi="仿宋" w:eastAsia="仿宋" w:cs="仿宋"/>
                <w:sz w:val="30"/>
                <w:szCs w:val="30"/>
              </w:rPr>
            </w:pPr>
          </w:p>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基本支出</w:t>
            </w:r>
          </w:p>
        </w:tc>
        <w:tc>
          <w:tcPr>
            <w:tcW w:w="3210"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工资和福利支出</w:t>
            </w:r>
          </w:p>
        </w:tc>
        <w:tc>
          <w:tcPr>
            <w:tcW w:w="2298"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4</w:t>
            </w:r>
            <w:r>
              <w:rPr>
                <w:rFonts w:hint="eastAsia" w:ascii="仿宋" w:hAnsi="仿宋" w:eastAsia="仿宋" w:cs="仿宋"/>
                <w:sz w:val="30"/>
                <w:szCs w:val="30"/>
                <w:lang w:val="en-US" w:eastAsia="zh-CN"/>
              </w:rPr>
              <w:t>84.42</w:t>
            </w:r>
            <w:r>
              <w:rPr>
                <w:rFonts w:hint="eastAsia" w:ascii="仿宋" w:hAnsi="仿宋" w:eastAsia="仿宋" w:cs="仿宋"/>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571" w:type="dxa"/>
            <w:vMerge w:val="continue"/>
            <w:vAlign w:val="center"/>
          </w:tcPr>
          <w:p>
            <w:pPr>
              <w:tabs>
                <w:tab w:val="center" w:pos="4153"/>
                <w:tab w:val="right" w:pos="8306"/>
              </w:tabs>
              <w:snapToGrid w:val="0"/>
              <w:spacing w:line="240" w:lineRule="auto"/>
              <w:jc w:val="center"/>
              <w:rPr>
                <w:rFonts w:hint="eastAsia" w:ascii="仿宋" w:hAnsi="仿宋" w:eastAsia="仿宋" w:cs="仿宋"/>
                <w:sz w:val="30"/>
                <w:szCs w:val="30"/>
              </w:rPr>
            </w:pPr>
          </w:p>
        </w:tc>
        <w:tc>
          <w:tcPr>
            <w:tcW w:w="3210"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商品和服务支出</w:t>
            </w:r>
          </w:p>
        </w:tc>
        <w:tc>
          <w:tcPr>
            <w:tcW w:w="2298"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lang w:val="en-US" w:eastAsia="zh-CN"/>
              </w:rPr>
              <w:t>29.76</w:t>
            </w:r>
            <w:r>
              <w:rPr>
                <w:rFonts w:hint="eastAsia" w:ascii="仿宋" w:hAnsi="仿宋" w:eastAsia="仿宋" w:cs="仿宋"/>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571" w:type="dxa"/>
            <w:vMerge w:val="continue"/>
            <w:vAlign w:val="center"/>
          </w:tcPr>
          <w:p>
            <w:pPr>
              <w:tabs>
                <w:tab w:val="center" w:pos="4153"/>
                <w:tab w:val="right" w:pos="8306"/>
              </w:tabs>
              <w:snapToGrid w:val="0"/>
              <w:spacing w:line="240" w:lineRule="auto"/>
              <w:jc w:val="center"/>
              <w:rPr>
                <w:rFonts w:hint="eastAsia" w:ascii="仿宋" w:hAnsi="仿宋" w:eastAsia="仿宋" w:cs="仿宋"/>
                <w:sz w:val="30"/>
                <w:szCs w:val="30"/>
              </w:rPr>
            </w:pPr>
          </w:p>
        </w:tc>
        <w:tc>
          <w:tcPr>
            <w:tcW w:w="3210"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对个人和家庭的补助</w:t>
            </w:r>
          </w:p>
        </w:tc>
        <w:tc>
          <w:tcPr>
            <w:tcW w:w="2298"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0</w:t>
            </w:r>
            <w:r>
              <w:rPr>
                <w:rFonts w:hint="eastAsia" w:ascii="仿宋" w:hAnsi="仿宋" w:eastAsia="仿宋" w:cs="仿宋"/>
                <w:sz w:val="30"/>
                <w:szCs w:val="30"/>
                <w:lang w:val="en-US" w:eastAsia="zh-CN"/>
              </w:rPr>
              <w:t>.36</w:t>
            </w:r>
            <w:r>
              <w:rPr>
                <w:rFonts w:hint="eastAsia" w:ascii="仿宋" w:hAnsi="仿宋" w:eastAsia="仿宋" w:cs="仿宋"/>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2571"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项目支出</w:t>
            </w:r>
          </w:p>
        </w:tc>
        <w:tc>
          <w:tcPr>
            <w:tcW w:w="3210"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p>
        </w:tc>
        <w:tc>
          <w:tcPr>
            <w:tcW w:w="2298" w:type="dxa"/>
            <w:vAlign w:val="center"/>
          </w:tcPr>
          <w:p>
            <w:pPr>
              <w:tabs>
                <w:tab w:val="center" w:pos="4153"/>
                <w:tab w:val="right" w:pos="8306"/>
              </w:tabs>
              <w:snapToGrid w:val="0"/>
              <w:spacing w:line="240" w:lineRule="auto"/>
              <w:jc w:val="center"/>
              <w:rPr>
                <w:rFonts w:hint="eastAsia" w:ascii="仿宋" w:hAnsi="仿宋" w:eastAsia="仿宋" w:cs="仿宋"/>
                <w:sz w:val="30"/>
                <w:szCs w:val="30"/>
              </w:rPr>
            </w:pPr>
            <w:r>
              <w:rPr>
                <w:rFonts w:hint="eastAsia" w:ascii="仿宋" w:hAnsi="仿宋" w:eastAsia="仿宋" w:cs="仿宋"/>
                <w:sz w:val="30"/>
                <w:szCs w:val="30"/>
              </w:rPr>
              <w:t>3</w:t>
            </w:r>
            <w:r>
              <w:rPr>
                <w:rFonts w:hint="eastAsia" w:ascii="仿宋" w:hAnsi="仿宋" w:eastAsia="仿宋" w:cs="仿宋"/>
                <w:sz w:val="30"/>
                <w:szCs w:val="30"/>
                <w:lang w:val="en-US" w:eastAsia="zh-CN"/>
              </w:rPr>
              <w:t>4</w:t>
            </w:r>
            <w:r>
              <w:rPr>
                <w:rFonts w:hint="eastAsia" w:ascii="仿宋" w:hAnsi="仿宋" w:eastAsia="仿宋" w:cs="仿宋"/>
                <w:sz w:val="30"/>
                <w:szCs w:val="30"/>
              </w:rPr>
              <w:t>.</w:t>
            </w:r>
            <w:r>
              <w:rPr>
                <w:rFonts w:hint="eastAsia" w:ascii="仿宋" w:hAnsi="仿宋" w:eastAsia="仿宋" w:cs="仿宋"/>
                <w:sz w:val="30"/>
                <w:szCs w:val="30"/>
                <w:lang w:val="en-US" w:eastAsia="zh-CN"/>
              </w:rPr>
              <w:t>29</w:t>
            </w:r>
            <w:r>
              <w:rPr>
                <w:rFonts w:hint="eastAsia" w:ascii="仿宋" w:hAnsi="仿宋" w:eastAsia="仿宋" w:cs="仿宋"/>
                <w:sz w:val="30"/>
                <w:szCs w:val="30"/>
              </w:rPr>
              <w:t>万元</w:t>
            </w:r>
          </w:p>
        </w:tc>
      </w:tr>
    </w:tbl>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 w:hAnsi="仿宋" w:eastAsia="仿宋" w:cs="宋体"/>
          <w:sz w:val="32"/>
          <w:szCs w:val="32"/>
        </w:rPr>
        <w:drawing>
          <wp:anchor distT="0" distB="0" distL="0" distR="0" simplePos="0" relativeHeight="251661312" behindDoc="0" locked="0" layoutInCell="1" allowOverlap="1">
            <wp:simplePos x="0" y="0"/>
            <wp:positionH relativeFrom="column">
              <wp:posOffset>406400</wp:posOffset>
            </wp:positionH>
            <wp:positionV relativeFrom="paragraph">
              <wp:posOffset>-2001520</wp:posOffset>
            </wp:positionV>
            <wp:extent cx="4554220" cy="2268220"/>
            <wp:effectExtent l="0" t="0" r="17780" b="17780"/>
            <wp:wrapSquare wrapText="bothSides"/>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四、财政拨款收入支出决算总体情况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spacing w:line="600" w:lineRule="exact"/>
        <w:ind w:firstLine="640" w:firstLineChars="200"/>
        <w:jc w:val="left"/>
        <w:rPr>
          <w:rFonts w:hint="eastAsia" w:ascii="仿宋" w:hAnsi="仿宋" w:eastAsia="仿宋" w:cs="宋体"/>
          <w:sz w:val="32"/>
          <w:szCs w:val="32"/>
        </w:rPr>
      </w:pPr>
      <w:r>
        <w:rPr>
          <w:rFonts w:ascii="仿宋" w:hAnsi="仿宋" w:eastAsia="仿宋" w:cs="宋体"/>
          <w:sz w:val="32"/>
          <w:szCs w:val="32"/>
        </w:rPr>
        <w:t>财政拨款收入</w:t>
      </w:r>
      <w:r>
        <w:rPr>
          <w:rFonts w:hint="eastAsia" w:ascii="仿宋" w:hAnsi="仿宋" w:eastAsia="仿宋" w:cs="宋体"/>
          <w:sz w:val="32"/>
          <w:szCs w:val="32"/>
        </w:rPr>
        <w:t>总计5</w:t>
      </w:r>
      <w:r>
        <w:rPr>
          <w:rFonts w:hint="eastAsia" w:ascii="仿宋" w:hAnsi="仿宋" w:eastAsia="仿宋" w:cs="宋体"/>
          <w:sz w:val="32"/>
          <w:szCs w:val="32"/>
          <w:lang w:val="en-US" w:eastAsia="zh-CN"/>
        </w:rPr>
        <w:t>51.29</w:t>
      </w:r>
      <w:r>
        <w:rPr>
          <w:rFonts w:hint="eastAsia" w:ascii="仿宋" w:hAnsi="仿宋" w:eastAsia="仿宋" w:cs="宋体"/>
          <w:sz w:val="32"/>
          <w:szCs w:val="32"/>
        </w:rPr>
        <w:t>万元，支出总计5</w:t>
      </w:r>
      <w:r>
        <w:rPr>
          <w:rFonts w:hint="eastAsia" w:ascii="仿宋" w:hAnsi="仿宋" w:eastAsia="仿宋" w:cs="宋体"/>
          <w:sz w:val="32"/>
          <w:szCs w:val="32"/>
          <w:lang w:val="en-US" w:eastAsia="zh-CN"/>
        </w:rPr>
        <w:t>48</w:t>
      </w:r>
      <w:r>
        <w:rPr>
          <w:rFonts w:hint="eastAsia" w:ascii="仿宋" w:hAnsi="仿宋" w:eastAsia="仿宋" w:cs="宋体"/>
          <w:sz w:val="32"/>
          <w:szCs w:val="32"/>
        </w:rPr>
        <w:t>.83万元。</w:t>
      </w:r>
    </w:p>
    <w:p>
      <w:pPr>
        <w:snapToGrid w:val="0"/>
        <w:spacing w:line="360" w:lineRule="auto"/>
        <w:ind w:firstLine="640"/>
        <w:rPr>
          <w:rFonts w:hint="eastAsia" w:ascii="仿宋" w:hAnsi="仿宋" w:eastAsia="仿宋" w:cs="宋体"/>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年度财政拨款收入总体情况比201</w:t>
      </w:r>
      <w:r>
        <w:rPr>
          <w:rFonts w:hint="eastAsia" w:ascii="仿宋" w:hAnsi="仿宋" w:eastAsia="仿宋" w:cs="宋体"/>
          <w:sz w:val="32"/>
          <w:szCs w:val="32"/>
          <w:lang w:val="en-US" w:eastAsia="zh-CN"/>
        </w:rPr>
        <w:t>9</w:t>
      </w:r>
      <w:r>
        <w:rPr>
          <w:rFonts w:hint="eastAsia" w:ascii="仿宋" w:hAnsi="仿宋" w:eastAsia="仿宋" w:cs="宋体"/>
          <w:sz w:val="32"/>
          <w:szCs w:val="32"/>
        </w:rPr>
        <w:t>年度财政拨款收入增加了</w:t>
      </w:r>
      <w:r>
        <w:rPr>
          <w:rFonts w:hint="eastAsia" w:ascii="仿宋" w:hAnsi="仿宋" w:eastAsia="仿宋" w:cs="宋体"/>
          <w:sz w:val="32"/>
          <w:szCs w:val="32"/>
          <w:lang w:val="en-US" w:eastAsia="zh-CN"/>
        </w:rPr>
        <w:t>23.35</w:t>
      </w:r>
      <w:r>
        <w:rPr>
          <w:rFonts w:hint="eastAsia" w:ascii="仿宋" w:hAnsi="仿宋" w:eastAsia="仿宋" w:cs="宋体"/>
          <w:sz w:val="32"/>
          <w:szCs w:val="32"/>
        </w:rPr>
        <w:t>万元，增减变化的原因为</w:t>
      </w:r>
      <w:r>
        <w:rPr>
          <w:rFonts w:hint="eastAsia" w:ascii="仿宋_GB2312" w:hAnsi="仿宋_GB2312" w:eastAsia="仿宋_GB2312" w:cs="仿宋_GB2312"/>
          <w:sz w:val="32"/>
          <w:szCs w:val="32"/>
        </w:rPr>
        <w:t>市级遴选增加新进人员</w:t>
      </w:r>
      <w:r>
        <w:rPr>
          <w:rFonts w:hint="eastAsia" w:ascii="仿宋" w:hAnsi="仿宋" w:eastAsia="仿宋"/>
          <w:sz w:val="32"/>
        </w:rPr>
        <w:t>，相应的工资、养老、公积金等支出增加</w:t>
      </w:r>
      <w:r>
        <w:rPr>
          <w:rFonts w:hint="eastAsia" w:ascii="仿宋_GB2312" w:hAnsi="仿宋_GB2312" w:eastAsia="仿宋_GB2312" w:cs="仿宋_GB2312"/>
          <w:sz w:val="32"/>
          <w:szCs w:val="32"/>
        </w:rPr>
        <w:t>。</w:t>
      </w:r>
    </w:p>
    <w:p>
      <w:pPr>
        <w:snapToGrid w:val="0"/>
        <w:spacing w:line="360" w:lineRule="auto"/>
        <w:ind w:firstLine="640"/>
        <w:rPr>
          <w:rFonts w:ascii="仿宋" w:hAnsi="仿宋" w:eastAsia="仿宋"/>
          <w:sz w:val="32"/>
          <w:szCs w:val="32"/>
        </w:rPr>
      </w:pPr>
      <w:r>
        <w:rPr>
          <w:rFonts w:hint="eastAsia" w:ascii="仿宋" w:hAnsi="仿宋" w:eastAsia="仿宋" w:cs="宋体"/>
          <w:sz w:val="32"/>
          <w:szCs w:val="32"/>
        </w:rPr>
        <w:t>20</w:t>
      </w:r>
      <w:r>
        <w:rPr>
          <w:rFonts w:hint="eastAsia" w:ascii="仿宋" w:hAnsi="仿宋" w:eastAsia="仿宋" w:cs="宋体"/>
          <w:sz w:val="32"/>
          <w:szCs w:val="32"/>
          <w:lang w:val="en-US" w:eastAsia="zh-CN"/>
        </w:rPr>
        <w:t>20</w:t>
      </w:r>
      <w:r>
        <w:rPr>
          <w:rFonts w:hint="eastAsia" w:ascii="仿宋" w:hAnsi="仿宋" w:eastAsia="仿宋" w:cs="宋体"/>
          <w:sz w:val="32"/>
          <w:szCs w:val="32"/>
        </w:rPr>
        <w:t>年度财政拨款支出总体情况比201</w:t>
      </w:r>
      <w:r>
        <w:rPr>
          <w:rFonts w:hint="eastAsia" w:ascii="仿宋" w:hAnsi="仿宋" w:eastAsia="仿宋" w:cs="宋体"/>
          <w:sz w:val="32"/>
          <w:szCs w:val="32"/>
          <w:lang w:val="en-US" w:eastAsia="zh-CN"/>
        </w:rPr>
        <w:t>9</w:t>
      </w:r>
      <w:r>
        <w:rPr>
          <w:rFonts w:hint="eastAsia" w:ascii="仿宋" w:hAnsi="仿宋" w:eastAsia="仿宋" w:cs="宋体"/>
          <w:sz w:val="32"/>
          <w:szCs w:val="32"/>
        </w:rPr>
        <w:t>年度财政拨款支出增加了</w:t>
      </w:r>
      <w:r>
        <w:rPr>
          <w:rFonts w:hint="eastAsia" w:ascii="仿宋" w:hAnsi="仿宋" w:eastAsia="仿宋" w:cs="宋体"/>
          <w:sz w:val="32"/>
          <w:szCs w:val="32"/>
          <w:lang w:val="en-US" w:eastAsia="zh-CN"/>
        </w:rPr>
        <w:t>24</w:t>
      </w:r>
      <w:r>
        <w:rPr>
          <w:rFonts w:hint="eastAsia" w:ascii="仿宋" w:hAnsi="仿宋" w:eastAsia="仿宋" w:cs="宋体"/>
          <w:sz w:val="32"/>
          <w:szCs w:val="32"/>
        </w:rPr>
        <w:t>万元，增加的原因是</w:t>
      </w:r>
      <w:r>
        <w:rPr>
          <w:rFonts w:hint="eastAsia" w:ascii="仿宋_GB2312" w:hAnsi="仿宋_GB2312" w:eastAsia="仿宋_GB2312" w:cs="仿宋_GB2312"/>
          <w:sz w:val="32"/>
          <w:szCs w:val="32"/>
        </w:rPr>
        <w:t>市级遴选增加新进人员</w:t>
      </w:r>
      <w:r>
        <w:rPr>
          <w:rFonts w:hint="eastAsia" w:ascii="仿宋" w:hAnsi="仿宋" w:eastAsia="仿宋"/>
          <w:sz w:val="32"/>
        </w:rPr>
        <w:t>，相应的工资、养老、公积金等支出增加</w:t>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r>
        <w:rPr>
          <w:rFonts w:hint="eastAsia" w:ascii="仿宋" w:hAnsi="仿宋" w:eastAsia="仿宋" w:cs="宋体"/>
          <w:sz w:val="32"/>
          <w:szCs w:val="32"/>
        </w:rPr>
        <w:drawing>
          <wp:anchor distT="0" distB="0" distL="0" distR="0" simplePos="0" relativeHeight="251662336" behindDoc="0" locked="0" layoutInCell="1" allowOverlap="1">
            <wp:simplePos x="0" y="0"/>
            <wp:positionH relativeFrom="column">
              <wp:posOffset>435610</wp:posOffset>
            </wp:positionH>
            <wp:positionV relativeFrom="paragraph">
              <wp:posOffset>278765</wp:posOffset>
            </wp:positionV>
            <wp:extent cx="4189730" cy="2130425"/>
            <wp:effectExtent l="0" t="0" r="1270" b="3175"/>
            <wp:wrapSquare wrapText="bothSides"/>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cs="宋体"/>
          <w:sz w:val="32"/>
          <w:szCs w:val="32"/>
        </w:rPr>
        <w:drawing>
          <wp:inline distT="0" distB="0" distL="0" distR="0">
            <wp:extent cx="4189730" cy="2130425"/>
            <wp:effectExtent l="0" t="0" r="1270" b="317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仿宋_GB2312" w:hAnsi="仿宋" w:eastAsia="仿宋_GB2312"/>
          <w:sz w:val="32"/>
          <w:szCs w:val="32"/>
        </w:rPr>
      </w:pP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五、一般公共预算财政拨款支出决算情况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ascii="楷体_GB2312" w:hAnsi="宋体" w:eastAsia="楷体_GB2312" w:cs="楷体_GB2312"/>
          <w:b/>
          <w:color w:val="000000"/>
          <w:kern w:val="0"/>
          <w:sz w:val="32"/>
          <w:szCs w:val="32"/>
          <w:lang w:bidi="ar"/>
        </w:rPr>
        <w:t>（一）财政拨款支出决算总体情况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snapToGrid w:val="0"/>
        <w:spacing w:line="360" w:lineRule="auto"/>
        <w:ind w:firstLine="640"/>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 xml:space="preserve"> 年财政拨款支出</w:t>
      </w:r>
      <w:r>
        <w:rPr>
          <w:rFonts w:hint="eastAsia" w:ascii="仿宋_GB2312" w:hAnsi="宋体" w:eastAsia="仿宋_GB2312" w:cs="仿宋_GB2312"/>
          <w:color w:val="000000"/>
          <w:kern w:val="0"/>
          <w:sz w:val="32"/>
          <w:szCs w:val="32"/>
          <w:lang w:val="en-US" w:eastAsia="zh-CN" w:bidi="ar"/>
        </w:rPr>
        <w:t>548.83</w:t>
      </w:r>
      <w:r>
        <w:rPr>
          <w:rFonts w:ascii="仿宋_GB2312" w:hAnsi="宋体" w:eastAsia="仿宋_GB2312" w:cs="仿宋_GB2312"/>
          <w:color w:val="000000"/>
          <w:kern w:val="0"/>
          <w:sz w:val="32"/>
          <w:szCs w:val="32"/>
          <w:lang w:bidi="ar"/>
        </w:rPr>
        <w:t>万元，占本年支出合计的</w:t>
      </w:r>
      <w:r>
        <w:rPr>
          <w:rFonts w:hint="eastAsia" w:ascii="仿宋_GB2312" w:hAnsi="宋体" w:eastAsia="仿宋_GB2312" w:cs="仿宋_GB2312"/>
          <w:color w:val="000000"/>
          <w:kern w:val="0"/>
          <w:sz w:val="32"/>
          <w:szCs w:val="32"/>
          <w:lang w:val="en-US" w:eastAsia="zh-CN" w:bidi="ar"/>
        </w:rPr>
        <w:t>100</w:t>
      </w:r>
      <w:r>
        <w:rPr>
          <w:rFonts w:ascii="仿宋_GB2312" w:hAnsi="宋体" w:eastAsia="仿宋_GB2312" w:cs="仿宋_GB2312"/>
          <w:color w:val="000000"/>
          <w:kern w:val="0"/>
          <w:sz w:val="32"/>
          <w:szCs w:val="32"/>
          <w:lang w:bidi="ar"/>
        </w:rPr>
        <w:t>%。与</w:t>
      </w:r>
      <w:r>
        <w:rPr>
          <w:rFonts w:hint="eastAsia" w:ascii="仿宋_GB2312" w:hAnsi="宋体" w:eastAsia="仿宋_GB2312" w:cs="仿宋_GB2312"/>
          <w:color w:val="000000"/>
          <w:kern w:val="0"/>
          <w:sz w:val="32"/>
          <w:szCs w:val="32"/>
          <w:lang w:bidi="ar"/>
        </w:rPr>
        <w:t>上年</w:t>
      </w:r>
      <w:r>
        <w:rPr>
          <w:rFonts w:ascii="仿宋_GB2312" w:hAnsi="宋体" w:eastAsia="仿宋_GB2312" w:cs="仿宋_GB2312"/>
          <w:color w:val="000000"/>
          <w:kern w:val="0"/>
          <w:sz w:val="32"/>
          <w:szCs w:val="32"/>
          <w:lang w:bidi="ar"/>
        </w:rPr>
        <w:t>相比，财政拨款支出增加</w:t>
      </w:r>
      <w:r>
        <w:rPr>
          <w:rFonts w:hint="eastAsia" w:ascii="仿宋_GB2312" w:hAnsi="宋体" w:eastAsia="仿宋_GB2312" w:cs="仿宋_GB2312"/>
          <w:color w:val="000000"/>
          <w:kern w:val="0"/>
          <w:sz w:val="32"/>
          <w:szCs w:val="32"/>
          <w:lang w:val="en-US" w:eastAsia="zh-CN" w:bidi="ar"/>
        </w:rPr>
        <w:t>24</w:t>
      </w:r>
      <w:r>
        <w:rPr>
          <w:rFonts w:ascii="仿宋_GB2312" w:hAnsi="宋体" w:eastAsia="仿宋_GB2312" w:cs="仿宋_GB2312"/>
          <w:color w:val="000000"/>
          <w:kern w:val="0"/>
          <w:sz w:val="32"/>
          <w:szCs w:val="32"/>
          <w:lang w:bidi="ar"/>
        </w:rPr>
        <w:t>万元，增长</w:t>
      </w:r>
      <w:r>
        <w:rPr>
          <w:rFonts w:hint="eastAsia" w:ascii="仿宋_GB2312" w:hAnsi="宋体" w:eastAsia="仿宋_GB2312" w:cs="仿宋_GB2312"/>
          <w:color w:val="000000"/>
          <w:kern w:val="0"/>
          <w:sz w:val="32"/>
          <w:szCs w:val="32"/>
          <w:lang w:val="en-US" w:eastAsia="zh-CN" w:bidi="ar"/>
        </w:rPr>
        <w:t>4.5</w:t>
      </w:r>
      <w:r>
        <w:rPr>
          <w:rFonts w:ascii="仿宋_GB2312" w:hAnsi="宋体" w:eastAsia="仿宋_GB2312" w:cs="仿宋_GB2312"/>
          <w:color w:val="000000"/>
          <w:kern w:val="0"/>
          <w:sz w:val="32"/>
          <w:szCs w:val="32"/>
          <w:lang w:bidi="ar"/>
        </w:rPr>
        <w:t>%，主要</w:t>
      </w:r>
      <w:r>
        <w:rPr>
          <w:rFonts w:hint="eastAsia" w:ascii="仿宋_GB2312" w:hAnsi="宋体" w:eastAsia="仿宋_GB2312" w:cs="仿宋_GB2312"/>
          <w:color w:val="000000"/>
          <w:kern w:val="0"/>
          <w:sz w:val="32"/>
          <w:szCs w:val="32"/>
          <w:lang w:bidi="ar"/>
        </w:rPr>
        <w:t>原因是</w:t>
      </w:r>
      <w:r>
        <w:rPr>
          <w:rFonts w:hint="eastAsia" w:ascii="仿宋_GB2312" w:hAnsi="仿宋_GB2312" w:eastAsia="仿宋_GB2312" w:cs="仿宋_GB2312"/>
          <w:sz w:val="32"/>
          <w:szCs w:val="32"/>
        </w:rPr>
        <w:t>市级遴选增加新进人员</w:t>
      </w:r>
      <w:r>
        <w:rPr>
          <w:rFonts w:hint="eastAsia" w:ascii="仿宋" w:hAnsi="仿宋" w:eastAsia="仿宋"/>
          <w:sz w:val="32"/>
        </w:rPr>
        <w:t>，相应的工资、养老、公积金等支出增加</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年财政拨款支出预算为</w:t>
      </w:r>
      <w:r>
        <w:rPr>
          <w:rFonts w:hint="eastAsia" w:ascii="仿宋_GB2312" w:hAnsi="宋体" w:eastAsia="仿宋_GB2312" w:cs="仿宋_GB2312"/>
          <w:color w:val="000000"/>
          <w:kern w:val="0"/>
          <w:sz w:val="32"/>
          <w:szCs w:val="32"/>
          <w:lang w:val="en-US" w:eastAsia="zh-CN" w:bidi="ar"/>
        </w:rPr>
        <w:t>378.6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548.83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145</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按照政府功能分类科目，</w:t>
      </w:r>
      <w:r>
        <w:rPr>
          <w:rFonts w:ascii="仿宋_GB2312" w:hAnsi="宋体" w:eastAsia="仿宋_GB2312" w:cs="仿宋_GB2312"/>
          <w:color w:val="000000"/>
          <w:kern w:val="0"/>
          <w:sz w:val="32"/>
          <w:szCs w:val="32"/>
          <w:lang w:bidi="ar"/>
        </w:rPr>
        <w:t xml:space="preserve">其中： </w:t>
      </w:r>
    </w:p>
    <w:p>
      <w:pPr>
        <w:keepNext w:val="0"/>
        <w:keepLines w:val="0"/>
        <w:pageBreakBefore w:val="0"/>
        <w:widowControl/>
        <w:kinsoku/>
        <w:wordWrap/>
        <w:overflowPunct/>
        <w:topLinePunct w:val="0"/>
        <w:autoSpaceDE/>
        <w:autoSpaceDN/>
        <w:bidi w:val="0"/>
        <w:spacing w:line="360" w:lineRule="auto"/>
        <w:ind w:firstLine="643" w:firstLineChars="200"/>
        <w:jc w:val="left"/>
        <w:textAlignment w:val="auto"/>
      </w:pPr>
      <w:r>
        <w:rPr>
          <w:rFonts w:ascii="仿宋_GB2312" w:hAnsi="宋体" w:eastAsia="仿宋_GB2312" w:cs="仿宋_GB2312"/>
          <w:b/>
          <w:color w:val="000000"/>
          <w:kern w:val="0"/>
          <w:sz w:val="32"/>
          <w:szCs w:val="32"/>
          <w:lang w:bidi="ar"/>
        </w:rPr>
        <w:t>1.一般公共服务支出（类）</w:t>
      </w:r>
      <w:r>
        <w:rPr>
          <w:rFonts w:hint="eastAsia" w:ascii="仿宋_GB2312" w:hAnsi="宋体" w:eastAsia="仿宋_GB2312" w:cs="仿宋_GB2312"/>
          <w:b/>
          <w:color w:val="000000"/>
          <w:kern w:val="0"/>
          <w:sz w:val="32"/>
          <w:szCs w:val="32"/>
          <w:lang w:val="en-US" w:eastAsia="zh-CN" w:bidi="ar"/>
        </w:rPr>
        <w:t>人力资源事务</w:t>
      </w:r>
      <w:r>
        <w:rPr>
          <w:rFonts w:ascii="仿宋_GB2312" w:hAnsi="宋体" w:eastAsia="仿宋_GB2312" w:cs="仿宋_GB2312"/>
          <w:b/>
          <w:color w:val="000000"/>
          <w:kern w:val="0"/>
          <w:sz w:val="32"/>
          <w:szCs w:val="32"/>
          <w:lang w:bidi="ar"/>
        </w:rPr>
        <w:t xml:space="preserve">（款）行政运行（项）。 </w:t>
      </w:r>
    </w:p>
    <w:p>
      <w:pPr>
        <w:snapToGrid w:val="0"/>
        <w:spacing w:line="360" w:lineRule="auto"/>
        <w:ind w:firstLine="640"/>
        <w:rPr>
          <w:rFonts w:ascii="仿宋_GB2312" w:hAnsi="宋体" w:eastAsia="仿宋_GB2312" w:cs="仿宋_GB2312"/>
          <w:color w:val="000000"/>
          <w:kern w:val="0"/>
          <w:sz w:val="32"/>
          <w:szCs w:val="32"/>
          <w:lang w:bidi="ar"/>
        </w:rPr>
      </w:pP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309.26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464.9</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150.3</w:t>
      </w:r>
      <w:r>
        <w:rPr>
          <w:rFonts w:ascii="仿宋_GB2312" w:hAnsi="宋体" w:eastAsia="仿宋_GB2312" w:cs="仿宋_GB2312"/>
          <w:color w:val="000000"/>
          <w:kern w:val="0"/>
          <w:sz w:val="32"/>
          <w:szCs w:val="32"/>
          <w:lang w:bidi="ar"/>
        </w:rPr>
        <w:t>%。决算数大于预算数的主要原因是</w:t>
      </w:r>
      <w:r>
        <w:rPr>
          <w:rFonts w:hint="eastAsia" w:ascii="仿宋_GB2312" w:hAnsi="宋体" w:eastAsia="仿宋_GB2312" w:cs="仿宋_GB2312"/>
          <w:color w:val="000000"/>
          <w:kern w:val="0"/>
          <w:sz w:val="32"/>
          <w:szCs w:val="32"/>
          <w:lang w:val="en-US" w:eastAsia="zh-CN" w:bidi="ar"/>
        </w:rPr>
        <w:t>年初预算下达数调整，并且</w:t>
      </w:r>
      <w:r>
        <w:rPr>
          <w:rFonts w:hint="eastAsia" w:ascii="仿宋_GB2312" w:hAnsi="仿宋_GB2312" w:eastAsia="仿宋_GB2312" w:cs="仿宋_GB2312"/>
          <w:sz w:val="32"/>
          <w:szCs w:val="32"/>
        </w:rPr>
        <w:t>市级遴选增加新进人员</w:t>
      </w:r>
      <w:r>
        <w:rPr>
          <w:rFonts w:hint="eastAsia" w:ascii="仿宋" w:hAnsi="仿宋" w:eastAsia="仿宋"/>
          <w:sz w:val="32"/>
        </w:rPr>
        <w:t>，相应</w:t>
      </w:r>
      <w:r>
        <w:rPr>
          <w:rFonts w:hint="eastAsia" w:ascii="仿宋" w:hAnsi="仿宋" w:eastAsia="仿宋"/>
          <w:sz w:val="32"/>
          <w:lang w:val="en-US" w:eastAsia="zh-CN"/>
        </w:rPr>
        <w:t>公用经费等</w:t>
      </w:r>
      <w:r>
        <w:rPr>
          <w:rFonts w:hint="eastAsia" w:ascii="仿宋" w:hAnsi="仿宋" w:eastAsia="仿宋"/>
          <w:sz w:val="32"/>
        </w:rPr>
        <w:t>支出增加</w:t>
      </w:r>
      <w:r>
        <w:rPr>
          <w:rFonts w:hint="eastAsia" w:ascii="仿宋_GB2312" w:hAnsi="宋体" w:eastAsia="仿宋_GB2312" w:cs="仿宋_GB2312"/>
          <w:color w:val="000000"/>
          <w:kern w:val="0"/>
          <w:sz w:val="32"/>
          <w:szCs w:val="32"/>
          <w:lang w:bidi="ar"/>
        </w:rPr>
        <w:t>。</w:t>
      </w:r>
    </w:p>
    <w:p>
      <w:pPr>
        <w:keepNext w:val="0"/>
        <w:keepLines w:val="0"/>
        <w:pageBreakBefore w:val="0"/>
        <w:widowControl/>
        <w:numPr>
          <w:ilvl w:val="0"/>
          <w:numId w:val="2"/>
        </w:numPr>
        <w:kinsoku/>
        <w:wordWrap/>
        <w:overflowPunct/>
        <w:topLinePunct w:val="0"/>
        <w:autoSpaceDE/>
        <w:autoSpaceDN/>
        <w:bidi w:val="0"/>
        <w:spacing w:line="360" w:lineRule="auto"/>
        <w:ind w:firstLine="643" w:firstLineChars="200"/>
        <w:jc w:val="left"/>
        <w:textAlignment w:val="auto"/>
        <w:rPr>
          <w:rFonts w:hint="eastAsia" w:ascii="仿宋_GB2312" w:hAnsi="宋体" w:eastAsia="仿宋_GB2312" w:cs="仿宋_GB2312"/>
          <w:b w:val="0"/>
          <w:bCs w:val="0"/>
          <w:color w:val="000000"/>
          <w:kern w:val="0"/>
          <w:sz w:val="32"/>
          <w:szCs w:val="32"/>
          <w:lang w:bidi="ar"/>
        </w:rPr>
      </w:pPr>
      <w:r>
        <w:rPr>
          <w:rFonts w:ascii="仿宋_GB2312" w:hAnsi="宋体" w:eastAsia="仿宋_GB2312" w:cs="仿宋_GB2312"/>
          <w:b/>
          <w:color w:val="000000"/>
          <w:kern w:val="0"/>
          <w:sz w:val="32"/>
          <w:szCs w:val="32"/>
          <w:lang w:bidi="ar"/>
        </w:rPr>
        <w:t>一般公共服务支出（类）</w:t>
      </w:r>
      <w:r>
        <w:rPr>
          <w:rFonts w:hint="eastAsia" w:ascii="仿宋_GB2312" w:hAnsi="宋体" w:eastAsia="仿宋_GB2312" w:cs="仿宋_GB2312"/>
          <w:b/>
          <w:color w:val="000000"/>
          <w:kern w:val="0"/>
          <w:sz w:val="32"/>
          <w:szCs w:val="32"/>
          <w:lang w:val="en-US" w:eastAsia="zh-CN" w:bidi="ar"/>
        </w:rPr>
        <w:t>人力资源事务</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一般行政管理事务</w:t>
      </w:r>
      <w:r>
        <w:rPr>
          <w:rFonts w:ascii="仿宋_GB2312" w:hAnsi="宋体" w:eastAsia="仿宋_GB2312" w:cs="仿宋_GB2312"/>
          <w:b/>
          <w:color w:val="000000"/>
          <w:kern w:val="0"/>
          <w:sz w:val="32"/>
          <w:szCs w:val="32"/>
          <w:lang w:bidi="ar"/>
        </w:rPr>
        <w:t>（项）</w:t>
      </w:r>
      <w:r>
        <w:rPr>
          <w:rFonts w:hint="eastAsia" w:ascii="仿宋_GB2312" w:hAnsi="宋体" w:eastAsia="仿宋_GB2312" w:cs="仿宋_GB2312"/>
          <w:b/>
          <w:bCs/>
          <w:color w:val="000000"/>
          <w:kern w:val="0"/>
          <w:sz w:val="32"/>
          <w:szCs w:val="32"/>
          <w:lang w:bidi="ar"/>
        </w:rPr>
        <w:t>。</w:t>
      </w:r>
      <w:r>
        <w:rPr>
          <w:rFonts w:hint="eastAsia" w:ascii="仿宋_GB2312" w:hAnsi="宋体" w:eastAsia="仿宋_GB2312" w:cs="仿宋_GB2312"/>
          <w:b/>
          <w:bCs/>
          <w:color w:val="000000"/>
          <w:kern w:val="0"/>
          <w:sz w:val="32"/>
          <w:szCs w:val="32"/>
          <w:lang w:val="en-US" w:eastAsia="zh-CN" w:bidi="ar"/>
        </w:rPr>
        <w:t xml:space="preserve"> </w:t>
      </w:r>
      <w:r>
        <w:rPr>
          <w:rFonts w:hint="eastAsia" w:ascii="仿宋_GB2312" w:hAnsi="宋体" w:eastAsia="仿宋_GB2312" w:cs="仿宋_GB2312"/>
          <w:b w:val="0"/>
          <w:bCs w:val="0"/>
          <w:color w:val="000000"/>
          <w:kern w:val="0"/>
          <w:sz w:val="32"/>
          <w:szCs w:val="32"/>
          <w:lang w:val="en-US" w:eastAsia="zh-CN" w:bidi="ar"/>
        </w:rPr>
        <w:t>预算为21.6万元，支出决算为21.6万元，完成预算的%。决算数与预算数持平。</w:t>
      </w:r>
    </w:p>
    <w:p>
      <w:pPr>
        <w:keepNext w:val="0"/>
        <w:keepLines w:val="0"/>
        <w:pageBreakBefore w:val="0"/>
        <w:widowControl/>
        <w:numPr>
          <w:ilvl w:val="0"/>
          <w:numId w:val="2"/>
        </w:numPr>
        <w:kinsoku/>
        <w:wordWrap/>
        <w:overflowPunct/>
        <w:topLinePunct w:val="0"/>
        <w:autoSpaceDE/>
        <w:autoSpaceDN/>
        <w:bidi w:val="0"/>
        <w:spacing w:line="360" w:lineRule="auto"/>
        <w:ind w:firstLine="643" w:firstLineChars="200"/>
        <w:jc w:val="left"/>
        <w:textAlignment w:val="auto"/>
        <w:rPr>
          <w:rFonts w:hint="eastAsia" w:ascii="仿宋_GB2312" w:hAnsi="宋体" w:eastAsia="仿宋_GB2312" w:cs="仿宋_GB2312"/>
          <w:b w:val="0"/>
          <w:bCs w:val="0"/>
          <w:color w:val="000000"/>
          <w:kern w:val="0"/>
          <w:sz w:val="32"/>
          <w:szCs w:val="32"/>
          <w:lang w:bidi="ar"/>
        </w:rPr>
      </w:pPr>
      <w:r>
        <w:rPr>
          <w:rFonts w:hint="eastAsia" w:ascii="仿宋_GB2312" w:hAnsi="宋体" w:eastAsia="仿宋_GB2312" w:cs="仿宋_GB2312"/>
          <w:b/>
          <w:color w:val="000000"/>
          <w:kern w:val="0"/>
          <w:sz w:val="32"/>
          <w:szCs w:val="32"/>
          <w:lang w:val="en-US" w:eastAsia="zh-CN" w:bidi="ar"/>
        </w:rPr>
        <w:t>社会保障和就业支出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color w:val="000000"/>
          <w:kern w:val="0"/>
          <w:sz w:val="32"/>
          <w:szCs w:val="32"/>
          <w:lang w:val="en-US" w:eastAsia="zh-CN" w:bidi="ar"/>
        </w:rPr>
        <w:t>行政事业单位养老支出</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color w:val="000000"/>
          <w:kern w:val="0"/>
          <w:sz w:val="32"/>
          <w:szCs w:val="32"/>
          <w:lang w:val="en-US" w:eastAsia="zh-CN" w:bidi="ar"/>
        </w:rPr>
        <w:t>机关事业单位基本养老保险缴费支出</w:t>
      </w:r>
      <w:r>
        <w:rPr>
          <w:rFonts w:ascii="仿宋_GB2312" w:hAnsi="宋体" w:eastAsia="仿宋_GB2312" w:cs="仿宋_GB2312"/>
          <w:b/>
          <w:color w:val="000000"/>
          <w:kern w:val="0"/>
          <w:sz w:val="32"/>
          <w:szCs w:val="32"/>
          <w:lang w:bidi="ar"/>
        </w:rPr>
        <w:t>（项）</w:t>
      </w:r>
      <w:r>
        <w:rPr>
          <w:rFonts w:hint="eastAsia" w:ascii="仿宋_GB2312" w:hAnsi="宋体" w:eastAsia="仿宋_GB2312" w:cs="仿宋_GB2312"/>
          <w:b/>
          <w:bCs/>
          <w:color w:val="000000"/>
          <w:kern w:val="0"/>
          <w:sz w:val="32"/>
          <w:szCs w:val="32"/>
          <w:lang w:bidi="ar"/>
        </w:rPr>
        <w:t>。</w:t>
      </w:r>
      <w:r>
        <w:rPr>
          <w:rFonts w:hint="eastAsia" w:ascii="仿宋_GB2312" w:hAnsi="宋体" w:eastAsia="仿宋_GB2312" w:cs="仿宋_GB2312"/>
          <w:b w:val="0"/>
          <w:bCs w:val="0"/>
          <w:color w:val="000000"/>
          <w:kern w:val="0"/>
          <w:sz w:val="32"/>
          <w:szCs w:val="32"/>
          <w:lang w:val="en-US" w:eastAsia="zh-CN" w:bidi="ar"/>
        </w:rPr>
        <w:t>预算为31.03万元，支出决算为42.4万元，完成预算的136.6%。决算数小于预算数的主要原因是</w:t>
      </w:r>
      <w:r>
        <w:rPr>
          <w:rFonts w:hint="eastAsia" w:ascii="仿宋_GB2312" w:hAnsi="仿宋_GB2312" w:eastAsia="仿宋_GB2312" w:cs="仿宋_GB2312"/>
          <w:sz w:val="32"/>
          <w:szCs w:val="32"/>
        </w:rPr>
        <w:t>市级遴选增加新进人员</w:t>
      </w:r>
      <w:r>
        <w:rPr>
          <w:rFonts w:hint="eastAsia" w:ascii="仿宋" w:hAnsi="仿宋" w:eastAsia="仿宋"/>
          <w:sz w:val="32"/>
        </w:rPr>
        <w:t>，相应</w:t>
      </w:r>
      <w:r>
        <w:rPr>
          <w:rFonts w:hint="eastAsia" w:ascii="仿宋" w:hAnsi="仿宋" w:eastAsia="仿宋"/>
          <w:sz w:val="32"/>
          <w:lang w:val="en-US" w:eastAsia="zh-CN"/>
        </w:rPr>
        <w:t>养老保险、职业年金</w:t>
      </w:r>
      <w:r>
        <w:rPr>
          <w:rFonts w:hint="eastAsia" w:ascii="仿宋" w:hAnsi="仿宋" w:eastAsia="仿宋"/>
          <w:sz w:val="32"/>
        </w:rPr>
        <w:t>支出增加</w:t>
      </w:r>
      <w:r>
        <w:rPr>
          <w:rFonts w:hint="eastAsia" w:ascii="仿宋_GB2312" w:hAnsi="仿宋_GB2312" w:eastAsia="仿宋_GB2312" w:cs="仿宋_GB2312"/>
          <w:sz w:val="32"/>
          <w:szCs w:val="32"/>
        </w:rPr>
        <w:t>。</w:t>
      </w:r>
    </w:p>
    <w:p>
      <w:pPr>
        <w:keepNext w:val="0"/>
        <w:keepLines w:val="0"/>
        <w:pageBreakBefore w:val="0"/>
        <w:widowControl/>
        <w:numPr>
          <w:ilvl w:val="0"/>
          <w:numId w:val="2"/>
        </w:numPr>
        <w:kinsoku/>
        <w:wordWrap/>
        <w:overflowPunct/>
        <w:topLinePunct w:val="0"/>
        <w:autoSpaceDE/>
        <w:autoSpaceDN/>
        <w:bidi w:val="0"/>
        <w:spacing w:line="360" w:lineRule="auto"/>
        <w:ind w:firstLine="643" w:firstLineChars="200"/>
        <w:jc w:val="left"/>
        <w:textAlignment w:val="auto"/>
        <w:rPr>
          <w:rFonts w:hint="eastAsia" w:ascii="仿宋_GB2312" w:hAnsi="宋体" w:eastAsia="仿宋_GB2312" w:cs="仿宋_GB2312"/>
          <w:b/>
          <w:bCs/>
          <w:color w:val="000000"/>
          <w:kern w:val="0"/>
          <w:sz w:val="32"/>
          <w:szCs w:val="32"/>
          <w:lang w:bidi="ar"/>
        </w:rPr>
      </w:pPr>
      <w:r>
        <w:rPr>
          <w:rFonts w:hint="eastAsia" w:ascii="仿宋_GB2312" w:hAnsi="宋体" w:eastAsia="仿宋_GB2312" w:cs="仿宋_GB2312"/>
          <w:b/>
          <w:bCs/>
          <w:color w:val="000000"/>
          <w:kern w:val="0"/>
          <w:sz w:val="32"/>
          <w:szCs w:val="32"/>
          <w:lang w:val="en-US" w:eastAsia="zh-CN" w:bidi="ar"/>
        </w:rPr>
        <w:t>卫生健康支出</w:t>
      </w:r>
      <w:r>
        <w:rPr>
          <w:rFonts w:ascii="仿宋_GB2312" w:hAnsi="宋体" w:eastAsia="仿宋_GB2312" w:cs="仿宋_GB2312"/>
          <w:b/>
          <w:color w:val="000000"/>
          <w:kern w:val="0"/>
          <w:sz w:val="32"/>
          <w:szCs w:val="32"/>
          <w:lang w:bidi="ar"/>
        </w:rPr>
        <w:t>（类）</w:t>
      </w:r>
      <w:r>
        <w:rPr>
          <w:rFonts w:hint="eastAsia" w:ascii="仿宋_GB2312" w:hAnsi="宋体" w:eastAsia="仿宋_GB2312" w:cs="仿宋_GB2312"/>
          <w:b/>
          <w:bCs/>
          <w:color w:val="000000"/>
          <w:kern w:val="0"/>
          <w:sz w:val="32"/>
          <w:szCs w:val="32"/>
          <w:lang w:val="en-US" w:eastAsia="zh-CN" w:bidi="ar"/>
        </w:rPr>
        <w:t>行政事业单位医疗</w:t>
      </w:r>
      <w:r>
        <w:rPr>
          <w:rFonts w:ascii="仿宋_GB2312" w:hAnsi="宋体" w:eastAsia="仿宋_GB2312" w:cs="仿宋_GB2312"/>
          <w:b/>
          <w:color w:val="000000"/>
          <w:kern w:val="0"/>
          <w:sz w:val="32"/>
          <w:szCs w:val="32"/>
          <w:lang w:bidi="ar"/>
        </w:rPr>
        <w:t>（款）</w:t>
      </w:r>
      <w:r>
        <w:rPr>
          <w:rFonts w:hint="eastAsia" w:ascii="仿宋_GB2312" w:hAnsi="宋体" w:eastAsia="仿宋_GB2312" w:cs="仿宋_GB2312"/>
          <w:b/>
          <w:bCs/>
          <w:color w:val="000000"/>
          <w:kern w:val="0"/>
          <w:sz w:val="32"/>
          <w:szCs w:val="32"/>
          <w:lang w:val="en-US" w:eastAsia="zh-CN" w:bidi="ar"/>
        </w:rPr>
        <w:t>行政单位医疗</w:t>
      </w:r>
      <w:r>
        <w:rPr>
          <w:rFonts w:ascii="仿宋_GB2312" w:hAnsi="宋体" w:eastAsia="仿宋_GB2312" w:cs="仿宋_GB2312"/>
          <w:b/>
          <w:color w:val="000000"/>
          <w:kern w:val="0"/>
          <w:sz w:val="32"/>
          <w:szCs w:val="32"/>
          <w:lang w:bidi="ar"/>
        </w:rPr>
        <w:t>（项）</w:t>
      </w:r>
      <w:r>
        <w:rPr>
          <w:rFonts w:hint="eastAsia" w:ascii="仿宋_GB2312" w:hAnsi="宋体" w:eastAsia="仿宋_GB2312" w:cs="仿宋_GB2312"/>
          <w:b/>
          <w:color w:val="000000"/>
          <w:kern w:val="0"/>
          <w:sz w:val="32"/>
          <w:szCs w:val="32"/>
          <w:lang w:eastAsia="zh-CN" w:bidi="ar"/>
        </w:rPr>
        <w:t>。</w:t>
      </w:r>
      <w:r>
        <w:rPr>
          <w:rFonts w:hint="eastAsia" w:ascii="仿宋_GB2312" w:hAnsi="宋体" w:eastAsia="仿宋_GB2312" w:cs="仿宋_GB2312"/>
          <w:b w:val="0"/>
          <w:bCs w:val="0"/>
          <w:color w:val="000000"/>
          <w:kern w:val="0"/>
          <w:sz w:val="32"/>
          <w:szCs w:val="32"/>
          <w:lang w:val="en-US" w:eastAsia="zh-CN" w:bidi="ar"/>
        </w:rPr>
        <w:t>预算为16.73万元，支出决算19.9为万元，完成预算的118.9%。决算数大于预算数的主要原因是</w:t>
      </w:r>
      <w:r>
        <w:rPr>
          <w:rFonts w:hint="eastAsia" w:ascii="仿宋_GB2312" w:hAnsi="仿宋_GB2312" w:eastAsia="仿宋_GB2312" w:cs="仿宋_GB2312"/>
          <w:sz w:val="32"/>
          <w:szCs w:val="32"/>
        </w:rPr>
        <w:t>市级遴选增加新进人员</w:t>
      </w:r>
      <w:r>
        <w:rPr>
          <w:rFonts w:hint="eastAsia" w:ascii="仿宋" w:hAnsi="仿宋" w:eastAsia="仿宋"/>
          <w:sz w:val="32"/>
        </w:rPr>
        <w:t>，相应</w:t>
      </w:r>
      <w:r>
        <w:rPr>
          <w:rFonts w:hint="eastAsia" w:ascii="仿宋" w:hAnsi="仿宋" w:eastAsia="仿宋"/>
          <w:sz w:val="32"/>
          <w:lang w:val="en-US" w:eastAsia="zh-CN"/>
        </w:rPr>
        <w:t>医疗保险、工伤保险</w:t>
      </w:r>
      <w:r>
        <w:rPr>
          <w:rFonts w:hint="eastAsia" w:ascii="仿宋" w:hAnsi="仿宋" w:eastAsia="仿宋"/>
          <w:sz w:val="32"/>
        </w:rPr>
        <w:t>支出增加</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仿宋_GB2312" w:hAnsi="仿宋" w:eastAsia="仿宋_GB2312"/>
          <w:sz w:val="32"/>
          <w:szCs w:val="32"/>
        </w:rPr>
      </w:pPr>
      <w:r>
        <w:rPr>
          <w:rFonts w:hint="eastAsia" w:ascii="黑体" w:hAnsi="黑体" w:eastAsia="黑体"/>
          <w:color w:val="000000"/>
          <w:kern w:val="0"/>
          <w:sz w:val="32"/>
          <w:szCs w:val="32"/>
          <w:lang w:bidi="ar"/>
        </w:rPr>
        <w:t>六、一般公共预算财政拨款基本支出决算情况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20" w:firstLineChars="200"/>
        <w:jc w:val="left"/>
        <w:textAlignment w:val="auto"/>
        <w:rPr>
          <w:rFonts w:ascii="仿宋_GB2312" w:hAnsi="仿宋_GB2312" w:eastAsia="仿宋_GB2312" w:cs="仿宋_GB2312"/>
          <w:color w:val="000000"/>
          <w:kern w:val="0"/>
          <w:sz w:val="31"/>
          <w:szCs w:val="31"/>
          <w:lang w:bidi="ar"/>
        </w:rPr>
      </w:pPr>
      <w:r>
        <w:rPr>
          <w:rFonts w:hint="eastAsia" w:ascii="仿宋_GB2312" w:hAnsi="仿宋_GB2312" w:eastAsia="仿宋_GB2312" w:cs="仿宋_GB2312"/>
          <w:color w:val="000000"/>
          <w:kern w:val="0"/>
          <w:sz w:val="31"/>
          <w:szCs w:val="31"/>
          <w:lang w:eastAsia="zh-CN" w:bidi="ar"/>
        </w:rPr>
        <w:t>2020</w:t>
      </w:r>
      <w:r>
        <w:rPr>
          <w:rFonts w:ascii="仿宋_GB2312" w:hAnsi="仿宋_GB2312" w:eastAsia="仿宋_GB2312" w:cs="仿宋_GB2312"/>
          <w:color w:val="000000"/>
          <w:kern w:val="0"/>
          <w:sz w:val="31"/>
          <w:szCs w:val="31"/>
          <w:lang w:bidi="ar"/>
        </w:rPr>
        <w:t>年一般公共预算财政拨款基本支出</w:t>
      </w:r>
      <w:r>
        <w:rPr>
          <w:rFonts w:hint="eastAsia" w:ascii="仿宋_GB2312" w:hAnsi="仿宋_GB2312" w:eastAsia="仿宋_GB2312" w:cs="仿宋_GB2312"/>
          <w:color w:val="000000"/>
          <w:kern w:val="0"/>
          <w:sz w:val="31"/>
          <w:szCs w:val="31"/>
          <w:lang w:val="en-US" w:eastAsia="zh-CN" w:bidi="ar"/>
        </w:rPr>
        <w:t>514.54</w:t>
      </w:r>
      <w:r>
        <w:rPr>
          <w:rFonts w:ascii="仿宋_GB2312" w:hAnsi="仿宋_GB2312" w:eastAsia="仿宋_GB2312" w:cs="仿宋_GB2312"/>
          <w:color w:val="000000"/>
          <w:kern w:val="0"/>
          <w:sz w:val="31"/>
          <w:szCs w:val="31"/>
          <w:lang w:bidi="ar"/>
        </w:rPr>
        <w:t>万元，包括：人员经费支出</w:t>
      </w:r>
      <w:r>
        <w:rPr>
          <w:rFonts w:hint="eastAsia" w:ascii="仿宋_GB2312" w:hAnsi="仿宋_GB2312" w:eastAsia="仿宋_GB2312" w:cs="仿宋_GB2312"/>
          <w:color w:val="000000"/>
          <w:kern w:val="0"/>
          <w:sz w:val="31"/>
          <w:szCs w:val="31"/>
          <w:lang w:val="en-US" w:eastAsia="zh-CN" w:bidi="ar"/>
        </w:rPr>
        <w:t>484.78</w:t>
      </w:r>
      <w:r>
        <w:rPr>
          <w:rFonts w:ascii="仿宋_GB2312" w:hAnsi="仿宋_GB2312" w:eastAsia="仿宋_GB2312" w:cs="仿宋_GB2312"/>
          <w:color w:val="000000"/>
          <w:kern w:val="0"/>
          <w:sz w:val="31"/>
          <w:szCs w:val="31"/>
          <w:lang w:bidi="ar"/>
        </w:rPr>
        <w:t>万元和公用经费支出</w:t>
      </w:r>
      <w:r>
        <w:rPr>
          <w:rFonts w:hint="eastAsia" w:ascii="仿宋_GB2312" w:hAnsi="仿宋_GB2312" w:eastAsia="仿宋_GB2312" w:cs="仿宋_GB2312"/>
          <w:color w:val="000000"/>
          <w:kern w:val="0"/>
          <w:sz w:val="31"/>
          <w:szCs w:val="31"/>
          <w:lang w:val="en-US" w:eastAsia="zh-CN" w:bidi="ar"/>
        </w:rPr>
        <w:t>29.76</w:t>
      </w:r>
      <w:r>
        <w:rPr>
          <w:rFonts w:ascii="仿宋_GB2312" w:hAnsi="仿宋_GB2312" w:eastAsia="仿宋_GB2312" w:cs="仿宋_GB2312"/>
          <w:color w:val="000000"/>
          <w:kern w:val="0"/>
          <w:sz w:val="31"/>
          <w:szCs w:val="31"/>
          <w:lang w:bidi="ar"/>
        </w:rPr>
        <w:t>万元。</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仿宋_GB2312" w:hAnsi="宋体" w:eastAsia="仿宋_GB2312" w:cs="仿宋_GB2312"/>
          <w:color w:val="000000"/>
          <w:kern w:val="0"/>
          <w:sz w:val="32"/>
          <w:szCs w:val="32"/>
          <w:lang w:bidi="ar"/>
        </w:rPr>
      </w:pPr>
      <w:r>
        <w:rPr>
          <w:rFonts w:ascii="仿宋_GB2312" w:hAnsi="宋体" w:eastAsia="仿宋_GB2312" w:cs="仿宋_GB2312"/>
          <w:b/>
          <w:bCs/>
          <w:color w:val="000000"/>
          <w:kern w:val="0"/>
          <w:sz w:val="32"/>
          <w:szCs w:val="32"/>
          <w:lang w:bidi="ar"/>
        </w:rPr>
        <w:t>人员经费</w:t>
      </w:r>
      <w:r>
        <w:rPr>
          <w:rFonts w:hint="eastAsia" w:ascii="仿宋_GB2312" w:hAnsi="宋体" w:eastAsia="仿宋_GB2312" w:cs="仿宋_GB2312"/>
          <w:color w:val="000000"/>
          <w:kern w:val="0"/>
          <w:sz w:val="32"/>
          <w:szCs w:val="32"/>
          <w:lang w:val="en-US" w:eastAsia="zh-CN" w:bidi="ar"/>
        </w:rPr>
        <w:t>484.78</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基本工资</w:t>
      </w:r>
      <w:r>
        <w:rPr>
          <w:rFonts w:hint="eastAsia" w:ascii="仿宋_GB2312" w:hAnsi="宋体" w:eastAsia="仿宋_GB2312" w:cs="仿宋_GB2312"/>
          <w:color w:val="000000"/>
          <w:kern w:val="0"/>
          <w:sz w:val="32"/>
          <w:szCs w:val="32"/>
          <w:lang w:val="en-US" w:eastAsia="zh-CN" w:bidi="ar"/>
        </w:rPr>
        <w:t>162.2</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津贴补贴133.6万元，奖金99万元，机关事业单位基本养老保险缴费35.8万元，职业年金缴费6.6万元，职工医疗保险缴费19.4万元，其他社会保障缴费0.6万元，生活补助0.09万元，奖励金0.27万元</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pPr>
      <w:r>
        <w:rPr>
          <w:rFonts w:ascii="仿宋_GB2312" w:hAnsi="宋体" w:eastAsia="仿宋_GB2312" w:cs="仿宋_GB2312"/>
          <w:b/>
          <w:bCs/>
          <w:color w:val="000000"/>
          <w:kern w:val="0"/>
          <w:sz w:val="32"/>
          <w:szCs w:val="32"/>
          <w:lang w:bidi="ar"/>
        </w:rPr>
        <w:t>公用经费</w:t>
      </w:r>
      <w:r>
        <w:rPr>
          <w:rFonts w:hint="eastAsia" w:ascii="仿宋_GB2312" w:hAnsi="宋体" w:eastAsia="仿宋_GB2312" w:cs="仿宋_GB2312"/>
          <w:color w:val="000000"/>
          <w:kern w:val="0"/>
          <w:sz w:val="32"/>
          <w:szCs w:val="32"/>
          <w:lang w:val="en-US" w:eastAsia="zh-CN" w:bidi="ar"/>
        </w:rPr>
        <w:t>29.76</w:t>
      </w:r>
      <w:r>
        <w:rPr>
          <w:rFonts w:ascii="仿宋_GB2312" w:hAnsi="宋体" w:eastAsia="仿宋_GB2312" w:cs="仿宋_GB2312"/>
          <w:color w:val="000000"/>
          <w:kern w:val="0"/>
          <w:sz w:val="32"/>
          <w:szCs w:val="32"/>
          <w:lang w:bidi="ar"/>
        </w:rPr>
        <w:t>万元，主要包括</w:t>
      </w:r>
      <w:r>
        <w:rPr>
          <w:rFonts w:hint="eastAsia" w:ascii="仿宋_GB2312" w:hAnsi="宋体" w:eastAsia="仿宋_GB2312" w:cs="仿宋_GB2312"/>
          <w:color w:val="000000"/>
          <w:kern w:val="0"/>
          <w:sz w:val="32"/>
          <w:szCs w:val="32"/>
          <w:lang w:bidi="ar"/>
        </w:rPr>
        <w:t>（单位支出涉及的款级科目）</w:t>
      </w:r>
      <w:r>
        <w:rPr>
          <w:rFonts w:ascii="仿宋_GB2312" w:hAnsi="宋体" w:eastAsia="仿宋_GB2312" w:cs="仿宋_GB2312"/>
          <w:color w:val="000000"/>
          <w:kern w:val="0"/>
          <w:sz w:val="32"/>
          <w:szCs w:val="32"/>
          <w:lang w:bidi="ar"/>
        </w:rPr>
        <w:t>办公费</w:t>
      </w:r>
      <w:r>
        <w:rPr>
          <w:rFonts w:hint="eastAsia" w:ascii="仿宋_GB2312" w:hAnsi="宋体" w:eastAsia="仿宋_GB2312" w:cs="仿宋_GB2312"/>
          <w:color w:val="000000"/>
          <w:kern w:val="0"/>
          <w:sz w:val="32"/>
          <w:szCs w:val="32"/>
          <w:lang w:val="en-US" w:eastAsia="zh-CN" w:bidi="ar"/>
        </w:rPr>
        <w:t>10.4</w:t>
      </w:r>
      <w:r>
        <w:rPr>
          <w:rFonts w:hint="eastAsia" w:ascii="仿宋_GB2312" w:hAnsi="宋体" w:eastAsia="仿宋_GB2312" w:cs="仿宋_GB2312"/>
          <w:color w:val="000000"/>
          <w:kern w:val="0"/>
          <w:sz w:val="32"/>
          <w:szCs w:val="32"/>
          <w:lang w:bidi="ar"/>
        </w:rPr>
        <w:t>万元</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印刷费1万元，差旅费7.8万元，维修（护）费1.7万元，会议费2.13万元，培训费1.6万元，公务接待费0.8万元，工会经费2.7万元，福利费0.1万元公务用车运行维护费1.5万元</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七、一般公共预算财政拨款“三公”经费及会议费、培训费支出决算情况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pPr>
      <w:r>
        <w:rPr>
          <w:rFonts w:ascii="楷体_GB2312" w:hAnsi="宋体" w:eastAsia="楷体_GB2312" w:cs="楷体_GB2312"/>
          <w:b/>
          <w:color w:val="000000"/>
          <w:kern w:val="0"/>
          <w:sz w:val="32"/>
          <w:szCs w:val="32"/>
          <w:lang w:bidi="ar"/>
        </w:rPr>
        <w:t>（一）“三公”经费财政拨款支出决算总体情况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 xml:space="preserve">。 </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年“三公”经费财政拨款支出预算为</w:t>
      </w:r>
      <w:r>
        <w:rPr>
          <w:rFonts w:hint="eastAsia" w:ascii="仿宋_GB2312" w:hAnsi="宋体" w:eastAsia="仿宋_GB2312" w:cs="仿宋_GB2312"/>
          <w:color w:val="000000"/>
          <w:kern w:val="0"/>
          <w:sz w:val="32"/>
          <w:szCs w:val="32"/>
          <w:lang w:val="en-US" w:eastAsia="zh-CN" w:bidi="ar"/>
        </w:rPr>
        <w:t>2.8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82.1</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减少（增加）</w:t>
      </w:r>
      <w:r>
        <w:rPr>
          <w:rFonts w:hint="eastAsia" w:ascii="仿宋_GB2312" w:hAnsi="宋体" w:eastAsia="仿宋_GB2312" w:cs="仿宋_GB2312"/>
          <w:color w:val="000000"/>
          <w:kern w:val="0"/>
          <w:sz w:val="32"/>
          <w:szCs w:val="32"/>
          <w:lang w:val="en-US" w:eastAsia="zh-CN" w:bidi="ar"/>
        </w:rPr>
        <w:t>0.5</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ascii="仿宋" w:hAnsi="仿宋" w:eastAsia="仿宋" w:cs="仿宋_GB2312"/>
          <w:color w:val="000000"/>
          <w:kern w:val="0"/>
          <w:sz w:val="32"/>
          <w:szCs w:val="32"/>
        </w:rPr>
        <w:t>按照财政过紧日子的要求，严格落实</w:t>
      </w:r>
      <w:r>
        <w:rPr>
          <w:rFonts w:hint="eastAsia" w:ascii="仿宋" w:hAnsi="仿宋" w:eastAsia="仿宋" w:cs="仿宋_GB2312"/>
          <w:color w:val="000000"/>
          <w:kern w:val="0"/>
          <w:sz w:val="32"/>
          <w:szCs w:val="32"/>
          <w:lang w:val="en-US" w:eastAsia="zh-CN"/>
        </w:rPr>
        <w:t>中央</w:t>
      </w:r>
      <w:r>
        <w:rPr>
          <w:rFonts w:hint="eastAsia" w:ascii="仿宋" w:hAnsi="仿宋" w:eastAsia="仿宋" w:cs="仿宋_GB2312"/>
          <w:color w:val="000000"/>
          <w:kern w:val="0"/>
          <w:sz w:val="32"/>
          <w:szCs w:val="32"/>
          <w:lang w:eastAsia="zh-CN"/>
        </w:rPr>
        <w:t>中央八项规定</w:t>
      </w:r>
      <w:r>
        <w:rPr>
          <w:rFonts w:ascii="仿宋" w:hAnsi="仿宋" w:eastAsia="仿宋" w:cs="仿宋_GB2312"/>
          <w:color w:val="000000"/>
          <w:kern w:val="0"/>
          <w:sz w:val="32"/>
          <w:szCs w:val="32"/>
        </w:rPr>
        <w:t>，压减</w:t>
      </w:r>
      <w:r>
        <w:rPr>
          <w:rFonts w:hint="eastAsia" w:ascii="仿宋" w:hAnsi="仿宋" w:eastAsia="仿宋" w:cs="仿宋_GB2312"/>
          <w:color w:val="000000"/>
          <w:kern w:val="0"/>
          <w:sz w:val="32"/>
          <w:szCs w:val="32"/>
          <w:lang w:val="en-US" w:eastAsia="zh-CN"/>
        </w:rPr>
        <w:t>三公</w:t>
      </w:r>
      <w:r>
        <w:rPr>
          <w:rFonts w:ascii="仿宋" w:hAnsi="仿宋" w:eastAsia="仿宋" w:cs="仿宋_GB2312"/>
          <w:color w:val="000000"/>
          <w:kern w:val="0"/>
          <w:sz w:val="32"/>
          <w:szCs w:val="32"/>
        </w:rPr>
        <w:t>经费支出</w:t>
      </w:r>
      <w:r>
        <w:rPr>
          <w:rFonts w:hint="eastAsia" w:ascii="仿宋_GB2312" w:hAnsi="宋体" w:eastAsia="仿宋_GB2312" w:cs="仿宋_GB2312"/>
          <w:color w:val="000000"/>
          <w:kern w:val="0"/>
          <w:sz w:val="32"/>
          <w:szCs w:val="32"/>
          <w:lang w:bidi="ar"/>
        </w:rPr>
        <w:t>。</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eastAsia="zh-CN" w:bidi="ar"/>
        </w:rPr>
        <w:t>（二）</w:t>
      </w:r>
      <w:r>
        <w:rPr>
          <w:rFonts w:ascii="楷体_GB2312" w:hAnsi="宋体" w:eastAsia="楷体_GB2312" w:cs="楷体_GB2312"/>
          <w:b/>
          <w:color w:val="000000"/>
          <w:kern w:val="0"/>
          <w:sz w:val="32"/>
          <w:szCs w:val="32"/>
          <w:lang w:bidi="ar"/>
        </w:rPr>
        <w:t>“三公”经费财政拨款支出决算具体情况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pPr>
      <w:r>
        <w:rPr>
          <w:rFonts w:hint="eastAsia" w:ascii="仿宋_GB2312" w:hAnsi="宋体" w:eastAsia="仿宋_GB2312" w:cs="仿宋_GB2312"/>
          <w:color w:val="000000"/>
          <w:kern w:val="0"/>
          <w:sz w:val="32"/>
          <w:szCs w:val="32"/>
          <w:lang w:eastAsia="zh-CN" w:bidi="ar"/>
        </w:rPr>
        <w:t>2020</w:t>
      </w:r>
      <w:r>
        <w:rPr>
          <w:rFonts w:ascii="仿宋_GB2312" w:hAnsi="宋体" w:eastAsia="仿宋_GB2312" w:cs="仿宋_GB2312"/>
          <w:color w:val="000000"/>
          <w:kern w:val="0"/>
          <w:sz w:val="32"/>
          <w:szCs w:val="32"/>
          <w:lang w:bidi="ar"/>
        </w:rPr>
        <w:t>年“三公”经费财政拨款支出决算中，因公出国（境）费支出决算</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%；公务用车购置</w:t>
      </w:r>
      <w:r>
        <w:rPr>
          <w:rFonts w:hint="eastAsia" w:ascii="仿宋_GB2312" w:hAnsi="宋体" w:eastAsia="仿宋_GB2312" w:cs="仿宋_GB2312"/>
          <w:color w:val="000000"/>
          <w:kern w:val="0"/>
          <w:sz w:val="32"/>
          <w:szCs w:val="32"/>
          <w:lang w:bidi="ar"/>
        </w:rPr>
        <w:t>费支出</w:t>
      </w:r>
      <w:r>
        <w:rPr>
          <w:rFonts w:hint="eastAsia" w:ascii="仿宋_GB2312" w:hAnsi="宋体" w:eastAsia="仿宋_GB2312" w:cs="仿宋_GB2312"/>
          <w:color w:val="000000"/>
          <w:kern w:val="0"/>
          <w:sz w:val="32"/>
          <w:szCs w:val="32"/>
          <w:lang w:val="en-US" w:eastAsia="zh-CN" w:bidi="ar"/>
        </w:rPr>
        <w:t>0</w:t>
      </w:r>
      <w:r>
        <w:rPr>
          <w:rFonts w:hint="eastAsia"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%；公务用车运行</w:t>
      </w:r>
      <w:r>
        <w:rPr>
          <w:rFonts w:hint="eastAsia" w:ascii="仿宋_GB2312" w:hAnsi="仿宋" w:eastAsia="仿宋_GB2312"/>
          <w:sz w:val="32"/>
          <w:szCs w:val="32"/>
        </w:rPr>
        <w:t>维护</w:t>
      </w:r>
      <w:r>
        <w:rPr>
          <w:rFonts w:ascii="仿宋_GB2312" w:hAnsi="宋体" w:eastAsia="仿宋_GB2312" w:cs="仿宋_GB2312"/>
          <w:color w:val="000000"/>
          <w:kern w:val="0"/>
          <w:sz w:val="32"/>
          <w:szCs w:val="32"/>
          <w:lang w:bidi="ar"/>
        </w:rPr>
        <w:t>费支出决算</w:t>
      </w:r>
      <w:r>
        <w:rPr>
          <w:rFonts w:hint="eastAsia" w:ascii="仿宋_GB2312" w:hAnsi="宋体" w:eastAsia="仿宋_GB2312" w:cs="仿宋_GB2312"/>
          <w:color w:val="000000"/>
          <w:kern w:val="0"/>
          <w:sz w:val="32"/>
          <w:szCs w:val="32"/>
          <w:lang w:val="en-US" w:eastAsia="zh-CN" w:bidi="ar"/>
        </w:rPr>
        <w:t>1.51</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65.7</w:t>
      </w:r>
      <w:r>
        <w:rPr>
          <w:rFonts w:ascii="仿宋_GB2312" w:hAnsi="宋体" w:eastAsia="仿宋_GB2312" w:cs="仿宋_GB2312"/>
          <w:color w:val="000000"/>
          <w:kern w:val="0"/>
          <w:sz w:val="32"/>
          <w:szCs w:val="32"/>
          <w:lang w:bidi="ar"/>
        </w:rPr>
        <w:t>%；公务接待费支出决算</w:t>
      </w:r>
      <w:r>
        <w:rPr>
          <w:rFonts w:hint="eastAsia" w:ascii="仿宋_GB2312" w:hAnsi="宋体" w:eastAsia="仿宋_GB2312" w:cs="仿宋_GB2312"/>
          <w:color w:val="000000"/>
          <w:kern w:val="0"/>
          <w:sz w:val="32"/>
          <w:szCs w:val="32"/>
          <w:lang w:val="en-US" w:eastAsia="zh-CN" w:bidi="ar"/>
        </w:rPr>
        <w:t>0.79</w:t>
      </w:r>
      <w:r>
        <w:rPr>
          <w:rFonts w:ascii="仿宋_GB2312" w:hAnsi="宋体" w:eastAsia="仿宋_GB2312" w:cs="仿宋_GB2312"/>
          <w:color w:val="000000"/>
          <w:kern w:val="0"/>
          <w:sz w:val="32"/>
          <w:szCs w:val="32"/>
          <w:lang w:bidi="ar"/>
        </w:rPr>
        <w:t>万元，占</w:t>
      </w:r>
      <w:r>
        <w:rPr>
          <w:rFonts w:hint="eastAsia" w:ascii="仿宋_GB2312" w:hAnsi="宋体" w:eastAsia="仿宋_GB2312" w:cs="仿宋_GB2312"/>
          <w:color w:val="000000"/>
          <w:kern w:val="0"/>
          <w:sz w:val="32"/>
          <w:szCs w:val="32"/>
          <w:lang w:val="en-US" w:eastAsia="zh-CN" w:bidi="ar"/>
        </w:rPr>
        <w:t>34.3</w:t>
      </w:r>
      <w:r>
        <w:rPr>
          <w:rFonts w:ascii="仿宋_GB2312" w:hAnsi="宋体" w:eastAsia="仿宋_GB2312" w:cs="仿宋_GB2312"/>
          <w:color w:val="000000"/>
          <w:kern w:val="0"/>
          <w:sz w:val="32"/>
          <w:szCs w:val="32"/>
          <w:lang w:bidi="ar"/>
        </w:rPr>
        <w:t>%。具体情况如下：</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1.因公出国（境）支出情况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spacing w:line="600" w:lineRule="exact"/>
        <w:ind w:firstLine="640" w:firstLineChars="200"/>
      </w:pPr>
      <w:r>
        <w:rPr>
          <w:rFonts w:ascii="仿宋" w:hAnsi="仿宋" w:eastAsia="仿宋" w:cs="宋体"/>
          <w:sz w:val="32"/>
          <w:szCs w:val="32"/>
        </w:rPr>
        <w:t>20</w:t>
      </w:r>
      <w:r>
        <w:rPr>
          <w:rFonts w:hint="eastAsia" w:ascii="仿宋" w:hAnsi="仿宋" w:eastAsia="仿宋" w:cs="宋体"/>
          <w:sz w:val="32"/>
          <w:szCs w:val="32"/>
          <w:lang w:val="en-US" w:eastAsia="zh-CN"/>
        </w:rPr>
        <w:t>20</w:t>
      </w:r>
      <w:r>
        <w:rPr>
          <w:rFonts w:ascii="仿宋" w:hAnsi="仿宋" w:eastAsia="仿宋" w:cs="宋体"/>
          <w:sz w:val="32"/>
          <w:szCs w:val="32"/>
        </w:rPr>
        <w:t>年</w:t>
      </w:r>
      <w:r>
        <w:rPr>
          <w:rFonts w:hint="eastAsia" w:ascii="仿宋" w:hAnsi="仿宋" w:eastAsia="仿宋" w:cs="宋体"/>
          <w:sz w:val="32"/>
          <w:szCs w:val="32"/>
        </w:rPr>
        <w:t>无</w:t>
      </w:r>
      <w:r>
        <w:rPr>
          <w:rFonts w:ascii="仿宋" w:hAnsi="仿宋" w:eastAsia="仿宋" w:cs="宋体"/>
          <w:sz w:val="32"/>
          <w:szCs w:val="32"/>
        </w:rPr>
        <w:t>因公出国（境）</w:t>
      </w:r>
      <w:r>
        <w:rPr>
          <w:rFonts w:hint="eastAsia" w:ascii="仿宋" w:hAnsi="仿宋" w:eastAsia="仿宋" w:cs="宋体"/>
          <w:sz w:val="32"/>
          <w:szCs w:val="32"/>
        </w:rPr>
        <w:t>费用</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2.公务用车购置费用支出情况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ind w:firstLine="640" w:firstLineChars="200"/>
      </w:pPr>
      <w:r>
        <w:rPr>
          <w:rFonts w:ascii="仿宋" w:hAnsi="仿宋" w:eastAsia="仿宋" w:cs="宋体"/>
          <w:sz w:val="32"/>
          <w:szCs w:val="32"/>
        </w:rPr>
        <w:t>20</w:t>
      </w:r>
      <w:r>
        <w:rPr>
          <w:rFonts w:hint="eastAsia" w:ascii="仿宋" w:hAnsi="仿宋" w:eastAsia="仿宋" w:cs="宋体"/>
          <w:sz w:val="32"/>
          <w:szCs w:val="32"/>
          <w:lang w:val="en-US" w:eastAsia="zh-CN"/>
        </w:rPr>
        <w:t>20</w:t>
      </w:r>
      <w:r>
        <w:rPr>
          <w:rFonts w:ascii="仿宋" w:hAnsi="仿宋" w:eastAsia="仿宋" w:cs="宋体"/>
          <w:sz w:val="32"/>
          <w:szCs w:val="32"/>
        </w:rPr>
        <w:t>年购置车辆</w:t>
      </w:r>
      <w:r>
        <w:rPr>
          <w:rFonts w:hint="eastAsia" w:ascii="仿宋" w:hAnsi="仿宋" w:eastAsia="仿宋" w:cs="宋体"/>
          <w:sz w:val="32"/>
          <w:szCs w:val="32"/>
        </w:rPr>
        <w:t>0台，支出0万元</w:t>
      </w:r>
      <w:r>
        <w:rPr>
          <w:rFonts w:ascii="仿宋" w:hAnsi="仿宋" w:eastAsia="仿宋" w:cs="宋体"/>
          <w:sz w:val="32"/>
          <w:szCs w:val="32"/>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b/>
          <w:bCs/>
          <w:sz w:val="32"/>
          <w:szCs w:val="32"/>
        </w:rPr>
      </w:pPr>
      <w:r>
        <w:rPr>
          <w:rFonts w:hint="eastAsia" w:ascii="仿宋_GB2312" w:hAnsi="仿宋" w:eastAsia="仿宋_GB2312"/>
          <w:b/>
          <w:bCs/>
          <w:sz w:val="32"/>
          <w:szCs w:val="32"/>
        </w:rPr>
        <w:t>3.公务用车运行维护费用支出情况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_GB2312" w:eastAsia="仿宋_GB2312" w:cs="仿宋_GB2312"/>
          <w:sz w:val="32"/>
          <w:szCs w:val="32"/>
        </w:rPr>
        <w:t>公务用车运行维护费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1.51</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75.5</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0.49</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ascii="仿宋" w:hAnsi="仿宋" w:eastAsia="仿宋" w:cs="仿宋_GB2312"/>
          <w:color w:val="000000"/>
          <w:kern w:val="0"/>
          <w:sz w:val="32"/>
          <w:szCs w:val="32"/>
        </w:rPr>
        <w:t>按照财政过紧日子的要求，严格落实</w:t>
      </w:r>
      <w:r>
        <w:rPr>
          <w:rFonts w:hint="eastAsia" w:ascii="仿宋" w:hAnsi="仿宋" w:eastAsia="仿宋" w:cs="仿宋_GB2312"/>
          <w:color w:val="000000"/>
          <w:kern w:val="0"/>
          <w:sz w:val="32"/>
          <w:szCs w:val="32"/>
          <w:lang w:eastAsia="zh-CN"/>
        </w:rPr>
        <w:t>中央八项规定</w:t>
      </w:r>
      <w:r>
        <w:rPr>
          <w:rFonts w:ascii="仿宋" w:hAnsi="仿宋" w:eastAsia="仿宋" w:cs="仿宋_GB2312"/>
          <w:color w:val="000000"/>
          <w:kern w:val="0"/>
          <w:sz w:val="32"/>
          <w:szCs w:val="32"/>
        </w:rPr>
        <w:t>，压减经费支出</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仿宋_GB2312" w:hAnsi="仿宋" w:eastAsia="仿宋_GB2312"/>
          <w:sz w:val="32"/>
          <w:szCs w:val="32"/>
        </w:rPr>
      </w:pPr>
      <w:r>
        <w:rPr>
          <w:rFonts w:hint="eastAsia" w:ascii="仿宋_GB2312" w:hAnsi="仿宋" w:eastAsia="仿宋_GB2312"/>
          <w:b/>
          <w:bCs/>
          <w:sz w:val="32"/>
          <w:szCs w:val="32"/>
        </w:rPr>
        <w:t>4.公务接待费支出情况</w:t>
      </w:r>
      <w:r>
        <w:rPr>
          <w:rFonts w:hint="eastAsia" w:ascii="楷体_GB2312" w:hAnsi="宋体" w:eastAsia="楷体_GB2312" w:cs="楷体_GB2312"/>
          <w:b/>
          <w:color w:val="000000"/>
          <w:kern w:val="0"/>
          <w:sz w:val="32"/>
          <w:szCs w:val="32"/>
          <w:lang w:eastAsia="zh-CN" w:bidi="ar"/>
        </w:rPr>
        <w:t>说明</w:t>
      </w:r>
      <w:r>
        <w:rPr>
          <w:rFonts w:hint="eastAsia" w:ascii="仿宋_GB2312" w:hAnsi="仿宋" w:eastAsia="仿宋_GB2312"/>
          <w:b/>
          <w:bCs/>
          <w:sz w:val="32"/>
          <w:szCs w:val="32"/>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2020</w:t>
      </w:r>
      <w:r>
        <w:rPr>
          <w:rFonts w:hint="eastAsia" w:ascii="仿宋_GB2312" w:hAnsi="仿宋" w:eastAsia="仿宋_GB2312"/>
          <w:sz w:val="32"/>
          <w:szCs w:val="32"/>
        </w:rPr>
        <w:t>年公务接待</w:t>
      </w:r>
      <w:r>
        <w:rPr>
          <w:rFonts w:hint="eastAsia" w:ascii="仿宋_GB2312" w:hAnsi="仿宋" w:eastAsia="仿宋_GB2312"/>
          <w:sz w:val="32"/>
          <w:szCs w:val="32"/>
          <w:lang w:val="en-US" w:eastAsia="zh-CN"/>
        </w:rPr>
        <w:t>6</w:t>
      </w:r>
      <w:r>
        <w:rPr>
          <w:rFonts w:hint="eastAsia" w:ascii="仿宋_GB2312" w:hAnsi="仿宋_GB2312" w:eastAsia="仿宋_GB2312" w:cs="仿宋_GB2312"/>
          <w:sz w:val="32"/>
          <w:szCs w:val="32"/>
        </w:rPr>
        <w:t>批次，</w:t>
      </w:r>
      <w:r>
        <w:rPr>
          <w:rFonts w:hint="eastAsia" w:ascii="仿宋_GB2312" w:hAnsi="仿宋_GB2312" w:eastAsia="仿宋_GB2312" w:cs="仿宋_GB2312"/>
          <w:sz w:val="32"/>
          <w:szCs w:val="32"/>
          <w:lang w:val="en-US" w:eastAsia="zh-CN"/>
        </w:rPr>
        <w:t>55</w:t>
      </w:r>
      <w:r>
        <w:rPr>
          <w:rFonts w:hint="eastAsia" w:ascii="仿宋_GB2312" w:hAnsi="仿宋_GB2312" w:eastAsia="仿宋_GB2312" w:cs="仿宋_GB2312"/>
          <w:sz w:val="32"/>
          <w:szCs w:val="32"/>
        </w:rPr>
        <w:t>人次，</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0.79</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99.9</w:t>
      </w:r>
      <w:r>
        <w:rPr>
          <w:rFonts w:hint="eastAsia" w:ascii="仿宋_GB2312" w:hAnsi="宋体" w:eastAsia="仿宋_GB2312" w:cs="仿宋_GB2312"/>
          <w:color w:val="000000"/>
          <w:kern w:val="0"/>
          <w:sz w:val="32"/>
          <w:szCs w:val="32"/>
          <w:lang w:bidi="ar"/>
        </w:rPr>
        <w:t>%，决</w:t>
      </w:r>
      <w:r>
        <w:rPr>
          <w:rFonts w:ascii="仿宋_GB2312" w:hAnsi="宋体" w:eastAsia="仿宋_GB2312" w:cs="仿宋_GB2312"/>
          <w:color w:val="000000"/>
          <w:kern w:val="0"/>
          <w:sz w:val="32"/>
          <w:szCs w:val="32"/>
          <w:lang w:bidi="ar"/>
        </w:rPr>
        <w:t>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接待减少</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（三）培训费支出情况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bookmarkStart w:id="0" w:name="_GoBack"/>
      <w:bookmarkEnd w:id="0"/>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_GB2312" w:eastAsia="仿宋_GB2312" w:cs="仿宋_GB2312"/>
          <w:sz w:val="32"/>
          <w:szCs w:val="32"/>
        </w:rPr>
        <w:t>培训费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0.8</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1.61</w:t>
      </w:r>
      <w:r>
        <w:rPr>
          <w:rFonts w:ascii="仿宋_GB2312" w:hAnsi="宋体" w:eastAsia="仿宋_GB2312" w:cs="仿宋_GB2312"/>
          <w:color w:val="000000"/>
          <w:kern w:val="0"/>
          <w:sz w:val="32"/>
          <w:szCs w:val="32"/>
          <w:lang w:bidi="ar"/>
        </w:rPr>
        <w:t>万元</w:t>
      </w:r>
      <w:r>
        <w:rPr>
          <w:rFonts w:hint="eastAsia" w:ascii="仿宋_GB2312" w:hAnsi="仿宋_GB2312" w:eastAsia="仿宋_GB2312" w:cs="仿宋_GB2312"/>
          <w:sz w:val="32"/>
          <w:szCs w:val="32"/>
        </w:rPr>
        <w:t>（</w:t>
      </w:r>
      <w:r>
        <w:rPr>
          <w:rFonts w:ascii="仿宋_GB2312" w:hAnsi="宋体" w:eastAsia="仿宋_GB2312" w:cs="仿宋_GB2312"/>
          <w:color w:val="000000"/>
          <w:kern w:val="0"/>
          <w:sz w:val="32"/>
          <w:szCs w:val="32"/>
          <w:lang w:bidi="ar"/>
        </w:rPr>
        <w:t>，完成预算的</w:t>
      </w:r>
      <w:r>
        <w:rPr>
          <w:rFonts w:hint="eastAsia" w:ascii="仿宋_GB2312" w:hAnsi="宋体" w:eastAsia="仿宋_GB2312" w:cs="仿宋_GB2312"/>
          <w:color w:val="000000"/>
          <w:kern w:val="0"/>
          <w:sz w:val="32"/>
          <w:szCs w:val="32"/>
          <w:lang w:val="en-US" w:eastAsia="zh-CN" w:bidi="ar"/>
        </w:rPr>
        <w:t>200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0.81</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专项业务培训数量增加</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3" w:firstLineChars="200"/>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（四）会议费支出情况</w:t>
      </w:r>
      <w:r>
        <w:rPr>
          <w:rFonts w:hint="eastAsia" w:ascii="楷体_GB2312" w:hAnsi="宋体" w:eastAsia="楷体_GB2312" w:cs="楷体_GB2312"/>
          <w:b/>
          <w:color w:val="000000"/>
          <w:kern w:val="0"/>
          <w:sz w:val="32"/>
          <w:szCs w:val="32"/>
          <w:lang w:eastAsia="zh-CN" w:bidi="ar"/>
        </w:rPr>
        <w:t>说明</w:t>
      </w:r>
      <w:r>
        <w:rPr>
          <w:rFonts w:hint="eastAsia" w:ascii="楷体_GB2312" w:hAnsi="宋体" w:eastAsia="楷体_GB2312" w:cs="楷体_GB2312"/>
          <w:b/>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宋体" w:eastAsia="仿宋_GB2312" w:cs="仿宋_GB2312"/>
          <w:color w:val="000000"/>
          <w:kern w:val="0"/>
          <w:sz w:val="32"/>
          <w:szCs w:val="32"/>
          <w:lang w:bidi="ar"/>
        </w:rPr>
      </w:pPr>
      <w:r>
        <w:rPr>
          <w:rFonts w:hint="eastAsia" w:ascii="仿宋_GB2312" w:hAnsi="仿宋" w:eastAsia="仿宋_GB2312"/>
          <w:sz w:val="32"/>
          <w:szCs w:val="32"/>
          <w:lang w:eastAsia="zh-CN"/>
        </w:rPr>
        <w:t>2020</w:t>
      </w:r>
      <w:r>
        <w:rPr>
          <w:rFonts w:hint="eastAsia" w:ascii="仿宋_GB2312" w:hAnsi="仿宋" w:eastAsia="仿宋_GB2312"/>
          <w:sz w:val="32"/>
          <w:szCs w:val="32"/>
        </w:rPr>
        <w:t>年</w:t>
      </w:r>
      <w:r>
        <w:rPr>
          <w:rFonts w:hint="eastAsia" w:ascii="仿宋_GB2312" w:hAnsi="仿宋_GB2312" w:eastAsia="仿宋_GB2312" w:cs="仿宋_GB2312"/>
          <w:sz w:val="32"/>
          <w:szCs w:val="32"/>
        </w:rPr>
        <w:t>会议费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2.5</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2.13</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85.2</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减少</w:t>
      </w:r>
      <w:r>
        <w:rPr>
          <w:rFonts w:hint="eastAsia" w:ascii="仿宋_GB2312" w:hAnsi="宋体" w:eastAsia="仿宋_GB2312" w:cs="仿宋_GB2312"/>
          <w:color w:val="000000"/>
          <w:kern w:val="0"/>
          <w:sz w:val="32"/>
          <w:szCs w:val="32"/>
          <w:lang w:val="en-US" w:eastAsia="zh-CN" w:bidi="ar"/>
        </w:rPr>
        <w:t>0.37</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宋体" w:eastAsia="仿宋_GB2312" w:cs="仿宋_GB2312"/>
          <w:color w:val="000000"/>
          <w:kern w:val="0"/>
          <w:sz w:val="32"/>
          <w:szCs w:val="32"/>
          <w:lang w:val="en-US" w:eastAsia="zh-CN" w:bidi="ar"/>
        </w:rPr>
        <w:t>会议较少</w:t>
      </w:r>
      <w:r>
        <w:rPr>
          <w:rFonts w:hint="eastAsia" w:ascii="仿宋_GB2312" w:hAnsi="宋体" w:eastAsia="仿宋_GB2312" w:cs="仿宋_GB2312"/>
          <w:color w:val="000000"/>
          <w:kern w:val="0"/>
          <w:sz w:val="32"/>
          <w:szCs w:val="32"/>
          <w:lang w:bidi="ar"/>
        </w:rPr>
        <w:t>。</w:t>
      </w:r>
    </w:p>
    <w:p>
      <w:pPr>
        <w:keepNext w:val="0"/>
        <w:keepLines w:val="0"/>
        <w:pageBreakBefore w:val="0"/>
        <w:kinsoku/>
        <w:wordWrap/>
        <w:overflowPunct/>
        <w:topLinePunct w:val="0"/>
        <w:autoSpaceDE/>
        <w:autoSpaceDN/>
        <w:bidi w:val="0"/>
        <w:spacing w:line="560" w:lineRule="exact"/>
        <w:ind w:firstLine="640" w:firstLineChars="200"/>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八、政府性基金预算财政拨款收入支出情况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 xml:space="preserve"> </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本部门无政府性基金决算收支，并已公开空表</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bidi="ar"/>
        </w:rPr>
        <w:t>九、国有资本经营财政拨款收</w:t>
      </w:r>
      <w:r>
        <w:rPr>
          <w:rFonts w:hint="eastAsia" w:ascii="黑体" w:hAnsi="黑体" w:eastAsia="黑体"/>
          <w:color w:val="000000"/>
          <w:kern w:val="0"/>
          <w:sz w:val="32"/>
          <w:szCs w:val="32"/>
          <w:lang w:eastAsia="zh-CN" w:bidi="ar"/>
        </w:rPr>
        <w:t>入</w:t>
      </w:r>
      <w:r>
        <w:rPr>
          <w:rFonts w:hint="eastAsia" w:ascii="黑体" w:hAnsi="黑体" w:eastAsia="黑体"/>
          <w:color w:val="000000"/>
          <w:kern w:val="0"/>
          <w:sz w:val="32"/>
          <w:szCs w:val="32"/>
          <w:lang w:bidi="ar"/>
        </w:rPr>
        <w:t>支</w:t>
      </w:r>
      <w:r>
        <w:rPr>
          <w:rFonts w:hint="eastAsia" w:ascii="黑体" w:hAnsi="黑体" w:eastAsia="黑体"/>
          <w:color w:val="000000"/>
          <w:kern w:val="0"/>
          <w:sz w:val="32"/>
          <w:szCs w:val="32"/>
          <w:lang w:eastAsia="zh-CN" w:bidi="ar"/>
        </w:rPr>
        <w:t>出</w:t>
      </w:r>
      <w:r>
        <w:rPr>
          <w:rFonts w:hint="eastAsia" w:ascii="黑体" w:hAnsi="黑体" w:eastAsia="黑体"/>
          <w:color w:val="000000"/>
          <w:kern w:val="0"/>
          <w:sz w:val="32"/>
          <w:szCs w:val="32"/>
          <w:lang w:bidi="ar"/>
        </w:rPr>
        <w:t>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本部门无国有资本经营决算拨款收支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并已公开空表</w:t>
      </w:r>
      <w:r>
        <w:rPr>
          <w:rFonts w:hint="eastAsia" w:ascii="仿宋_GB2312" w:hAnsi="仿宋_GB2312" w:eastAsia="仿宋_GB2312" w:cs="仿宋_GB2312"/>
          <w:sz w:val="32"/>
          <w:szCs w:val="32"/>
          <w:lang w:eastAsia="zh-CN"/>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bidi="ar"/>
        </w:rPr>
        <w:t>十、机关运行经费支出情况</w:t>
      </w:r>
      <w:r>
        <w:rPr>
          <w:rFonts w:hint="eastAsia" w:ascii="黑体" w:hAnsi="黑体" w:eastAsia="黑体"/>
          <w:color w:val="000000"/>
          <w:kern w:val="0"/>
          <w:sz w:val="32"/>
          <w:szCs w:val="32"/>
          <w:lang w:eastAsia="zh-CN" w:bidi="ar"/>
        </w:rPr>
        <w:t>说明</w:t>
      </w:r>
      <w:r>
        <w:rPr>
          <w:rFonts w:hint="eastAsia" w:ascii="黑体" w:hAnsi="黑体" w:eastAsia="黑体"/>
          <w:color w:val="000000"/>
          <w:kern w:val="0"/>
          <w:sz w:val="32"/>
          <w:szCs w:val="32"/>
          <w:lang w:bidi="ar"/>
        </w:rPr>
        <w:t>。</w:t>
      </w:r>
    </w:p>
    <w:p>
      <w:pPr>
        <w:snapToGrid w:val="0"/>
        <w:spacing w:line="360" w:lineRule="auto"/>
        <w:ind w:firstLine="640"/>
        <w:rPr>
          <w:rFonts w:hint="eastAsia" w:ascii="仿宋_GB2312" w:hAnsi="宋体" w:eastAsia="仿宋_GB2312" w:cs="仿宋_GB2312"/>
          <w:color w:val="000000"/>
          <w:kern w:val="0"/>
          <w:sz w:val="32"/>
          <w:szCs w:val="32"/>
          <w:lang w:bidi="ar"/>
        </w:rPr>
      </w:pPr>
      <w:r>
        <w:rPr>
          <w:rFonts w:hint="eastAsia" w:ascii="仿宋_GB2312" w:hAnsi="仿宋_GB2312" w:eastAsia="仿宋_GB2312" w:cs="仿宋_GB2312"/>
          <w:color w:val="000000"/>
          <w:kern w:val="0"/>
          <w:sz w:val="31"/>
          <w:szCs w:val="31"/>
          <w:lang w:eastAsia="zh-CN" w:bidi="ar"/>
        </w:rPr>
        <w:t>2020</w:t>
      </w:r>
      <w:r>
        <w:rPr>
          <w:rFonts w:ascii="仿宋_GB2312" w:hAnsi="仿宋_GB2312" w:eastAsia="仿宋_GB2312" w:cs="仿宋_GB2312"/>
          <w:color w:val="000000"/>
          <w:kern w:val="0"/>
          <w:sz w:val="31"/>
          <w:szCs w:val="31"/>
          <w:lang w:bidi="ar"/>
        </w:rPr>
        <w:t>年机关运行经费</w:t>
      </w:r>
      <w:r>
        <w:rPr>
          <w:rFonts w:ascii="仿宋_GB2312" w:hAnsi="宋体" w:eastAsia="仿宋_GB2312" w:cs="仿宋_GB2312"/>
          <w:color w:val="000000"/>
          <w:kern w:val="0"/>
          <w:sz w:val="32"/>
          <w:szCs w:val="32"/>
          <w:lang w:bidi="ar"/>
        </w:rPr>
        <w:t>预算为</w:t>
      </w:r>
      <w:r>
        <w:rPr>
          <w:rFonts w:hint="eastAsia" w:ascii="仿宋_GB2312" w:hAnsi="宋体" w:eastAsia="仿宋_GB2312" w:cs="仿宋_GB2312"/>
          <w:color w:val="000000"/>
          <w:kern w:val="0"/>
          <w:sz w:val="32"/>
          <w:szCs w:val="32"/>
          <w:lang w:val="en-US" w:eastAsia="zh-CN" w:bidi="ar"/>
        </w:rPr>
        <w:t>21.6</w:t>
      </w:r>
      <w:r>
        <w:rPr>
          <w:rFonts w:ascii="仿宋_GB2312" w:hAnsi="宋体" w:eastAsia="仿宋_GB2312" w:cs="仿宋_GB2312"/>
          <w:color w:val="000000"/>
          <w:kern w:val="0"/>
          <w:sz w:val="32"/>
          <w:szCs w:val="32"/>
          <w:lang w:bidi="ar"/>
        </w:rPr>
        <w:t>万元，支出决算为</w:t>
      </w:r>
      <w:r>
        <w:rPr>
          <w:rFonts w:hint="eastAsia" w:ascii="仿宋_GB2312" w:hAnsi="宋体" w:eastAsia="仿宋_GB2312" w:cs="仿宋_GB2312"/>
          <w:color w:val="000000"/>
          <w:kern w:val="0"/>
          <w:sz w:val="32"/>
          <w:szCs w:val="32"/>
          <w:lang w:val="en-US" w:eastAsia="zh-CN" w:bidi="ar"/>
        </w:rPr>
        <w:t>29.8</w:t>
      </w:r>
      <w:r>
        <w:rPr>
          <w:rFonts w:ascii="仿宋_GB2312" w:hAnsi="宋体" w:eastAsia="仿宋_GB2312" w:cs="仿宋_GB2312"/>
          <w:color w:val="000000"/>
          <w:kern w:val="0"/>
          <w:sz w:val="32"/>
          <w:szCs w:val="32"/>
          <w:lang w:bidi="ar"/>
        </w:rPr>
        <w:t>万元，完成预算的</w:t>
      </w:r>
      <w:r>
        <w:rPr>
          <w:rFonts w:hint="eastAsia" w:ascii="仿宋_GB2312" w:hAnsi="宋体" w:eastAsia="仿宋_GB2312" w:cs="仿宋_GB2312"/>
          <w:color w:val="000000"/>
          <w:kern w:val="0"/>
          <w:sz w:val="32"/>
          <w:szCs w:val="32"/>
          <w:lang w:val="en-US" w:eastAsia="zh-CN" w:bidi="ar"/>
        </w:rPr>
        <w:t>138</w:t>
      </w:r>
      <w:r>
        <w:rPr>
          <w:rFonts w:ascii="仿宋_GB2312" w:hAnsi="宋体" w:eastAsia="仿宋_GB2312" w:cs="仿宋_GB2312"/>
          <w:color w:val="000000"/>
          <w:kern w:val="0"/>
          <w:sz w:val="32"/>
          <w:szCs w:val="32"/>
          <w:lang w:bidi="ar"/>
        </w:rPr>
        <w:t>%。决算数</w:t>
      </w:r>
      <w:r>
        <w:rPr>
          <w:rFonts w:hint="eastAsia" w:ascii="仿宋_GB2312" w:hAnsi="宋体" w:eastAsia="仿宋_GB2312" w:cs="仿宋_GB2312"/>
          <w:color w:val="000000"/>
          <w:kern w:val="0"/>
          <w:sz w:val="32"/>
          <w:szCs w:val="32"/>
          <w:lang w:bidi="ar"/>
        </w:rPr>
        <w:t>较</w:t>
      </w:r>
      <w:r>
        <w:rPr>
          <w:rFonts w:ascii="仿宋_GB2312" w:hAnsi="宋体" w:eastAsia="仿宋_GB2312" w:cs="仿宋_GB2312"/>
          <w:color w:val="000000"/>
          <w:kern w:val="0"/>
          <w:sz w:val="32"/>
          <w:szCs w:val="32"/>
          <w:lang w:bidi="ar"/>
        </w:rPr>
        <w:t>预算数</w:t>
      </w:r>
      <w:r>
        <w:rPr>
          <w:rFonts w:hint="eastAsia" w:ascii="仿宋_GB2312" w:hAnsi="宋体" w:eastAsia="仿宋_GB2312" w:cs="仿宋_GB2312"/>
          <w:color w:val="000000"/>
          <w:kern w:val="0"/>
          <w:sz w:val="32"/>
          <w:szCs w:val="32"/>
          <w:lang w:bidi="ar"/>
        </w:rPr>
        <w:t>增加</w:t>
      </w:r>
      <w:r>
        <w:rPr>
          <w:rFonts w:hint="eastAsia" w:ascii="仿宋_GB2312" w:hAnsi="宋体" w:eastAsia="仿宋_GB2312" w:cs="仿宋_GB2312"/>
          <w:color w:val="000000"/>
          <w:kern w:val="0"/>
          <w:sz w:val="32"/>
          <w:szCs w:val="32"/>
          <w:lang w:val="en-US" w:eastAsia="zh-CN" w:bidi="ar"/>
        </w:rPr>
        <w:t>8.2</w:t>
      </w:r>
      <w:r>
        <w:rPr>
          <w:rFonts w:hint="eastAsia" w:ascii="仿宋_GB2312" w:hAnsi="宋体" w:eastAsia="仿宋_GB2312" w:cs="仿宋_GB2312"/>
          <w:color w:val="000000"/>
          <w:kern w:val="0"/>
          <w:sz w:val="32"/>
          <w:szCs w:val="32"/>
          <w:lang w:bidi="ar"/>
        </w:rPr>
        <w:t>万元，</w:t>
      </w:r>
      <w:r>
        <w:rPr>
          <w:rFonts w:ascii="仿宋_GB2312" w:hAnsi="宋体" w:eastAsia="仿宋_GB2312" w:cs="仿宋_GB2312"/>
          <w:color w:val="000000"/>
          <w:kern w:val="0"/>
          <w:sz w:val="32"/>
          <w:szCs w:val="32"/>
          <w:lang w:bidi="ar"/>
        </w:rPr>
        <w:t>主要原因是</w:t>
      </w:r>
      <w:r>
        <w:rPr>
          <w:rFonts w:hint="eastAsia" w:ascii="仿宋_GB2312" w:hAnsi="仿宋_GB2312" w:eastAsia="仿宋_GB2312" w:cs="仿宋_GB2312"/>
          <w:sz w:val="32"/>
          <w:szCs w:val="32"/>
        </w:rPr>
        <w:t>市级遴选增加新进人员</w:t>
      </w:r>
      <w:r>
        <w:rPr>
          <w:rFonts w:hint="eastAsia" w:ascii="仿宋" w:hAnsi="仿宋" w:eastAsia="仿宋"/>
          <w:sz w:val="32"/>
        </w:rPr>
        <w:t>，相应的工资、养老、公积金等支出增加</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十一、</w:t>
      </w:r>
      <w:r>
        <w:rPr>
          <w:rFonts w:hint="eastAsia" w:ascii="黑体" w:hAnsi="黑体" w:eastAsia="黑体"/>
          <w:color w:val="000000"/>
          <w:kern w:val="0"/>
          <w:sz w:val="32"/>
          <w:szCs w:val="32"/>
          <w:lang w:bidi="ar"/>
        </w:rPr>
        <w:t>政府采购支出情况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年本部门政府采购支出总额共</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万元，其中政府采购货物类支出</w:t>
      </w:r>
      <w:r>
        <w:rPr>
          <w:rFonts w:hint="eastAsia" w:ascii="仿宋_GB2312" w:hAnsi="仿宋_GB2312" w:eastAsia="仿宋_GB2312" w:cs="仿宋_GB2312"/>
          <w:sz w:val="32"/>
          <w:szCs w:val="32"/>
          <w:lang w:val="en-US" w:eastAsia="zh-CN"/>
        </w:rPr>
        <w:t>0.96</w:t>
      </w:r>
      <w:r>
        <w:rPr>
          <w:rFonts w:hint="eastAsia" w:ascii="仿宋_GB2312" w:hAnsi="仿宋_GB2312" w:eastAsia="仿宋_GB2312" w:cs="仿宋_GB2312"/>
          <w:sz w:val="32"/>
          <w:szCs w:val="32"/>
        </w:rPr>
        <w:t>万元、政府采购服务类支出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万元、政府采购工程类支出</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万元。</w:t>
      </w:r>
      <w:r>
        <w:rPr>
          <w:rFonts w:ascii="仿宋_GB2312" w:hAnsi="宋体" w:eastAsia="仿宋_GB2312" w:cs="仿宋_GB2312"/>
          <w:color w:val="000000"/>
          <w:kern w:val="0"/>
          <w:sz w:val="32"/>
          <w:szCs w:val="32"/>
          <w:lang w:bidi="ar"/>
        </w:rPr>
        <w:t>授予中小企业合同金额</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%，其中：授予小微企业合同金额</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万元，占政府采购支出总额的</w:t>
      </w:r>
      <w:r>
        <w:rPr>
          <w:rFonts w:hint="eastAsia" w:ascii="仿宋_GB2312" w:hAnsi="宋体" w:eastAsia="仿宋_GB2312" w:cs="仿宋_GB2312"/>
          <w:color w:val="000000"/>
          <w:kern w:val="0"/>
          <w:sz w:val="32"/>
          <w:szCs w:val="32"/>
          <w:lang w:val="en-US" w:eastAsia="zh-CN" w:bidi="ar"/>
        </w:rPr>
        <w:t>0</w:t>
      </w:r>
      <w:r>
        <w:rPr>
          <w:rFonts w:ascii="仿宋_GB2312" w:hAnsi="宋体" w:eastAsia="仿宋_GB2312" w:cs="仿宋_GB2312"/>
          <w:color w:val="000000"/>
          <w:kern w:val="0"/>
          <w:sz w:val="32"/>
          <w:szCs w:val="32"/>
          <w:lang w:bidi="ar"/>
        </w:rPr>
        <w:t>%</w:t>
      </w:r>
      <w:r>
        <w:rPr>
          <w:rFonts w:hint="eastAsia" w:ascii="仿宋_GB2312" w:hAnsi="宋体" w:eastAsia="仿宋_GB2312" w:cs="仿宋_GB2312"/>
          <w:color w:val="000000"/>
          <w:kern w:val="0"/>
          <w:sz w:val="32"/>
          <w:szCs w:val="32"/>
          <w:lang w:bidi="ar"/>
        </w:rPr>
        <w:t>。</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hint="eastAsia"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十二、</w:t>
      </w:r>
      <w:r>
        <w:rPr>
          <w:rFonts w:hint="eastAsia" w:ascii="黑体" w:hAnsi="黑体" w:eastAsia="黑体"/>
          <w:color w:val="000000"/>
          <w:kern w:val="0"/>
          <w:sz w:val="32"/>
          <w:szCs w:val="32"/>
          <w:lang w:bidi="ar"/>
        </w:rPr>
        <w:t>国有资产占用及购置情况</w:t>
      </w:r>
      <w:r>
        <w:rPr>
          <w:rFonts w:hint="eastAsia" w:ascii="黑体" w:hAnsi="黑体" w:eastAsia="黑体"/>
          <w:color w:val="000000"/>
          <w:kern w:val="0"/>
          <w:sz w:val="32"/>
          <w:szCs w:val="32"/>
          <w:lang w:eastAsia="zh-CN" w:bidi="ar"/>
        </w:rPr>
        <w:t>说明</w:t>
      </w:r>
    </w:p>
    <w:p>
      <w:pPr>
        <w:keepNext w:val="0"/>
        <w:keepLines w:val="0"/>
        <w:pageBreakBefore w:val="0"/>
        <w:kinsoku/>
        <w:wordWrap/>
        <w:overflowPunct/>
        <w:topLinePunct w:val="0"/>
        <w:autoSpaceDE/>
        <w:autoSpaceDN/>
        <w:bidi w:val="0"/>
        <w:spacing w:line="56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截至</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年末，本部门机关及所属单位共有车辆</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其中公务用车保有1量</w:t>
      </w:r>
      <w:r>
        <w:rPr>
          <w:rFonts w:hint="eastAsia" w:ascii="仿宋_GB2312" w:hAnsi="仿宋_GB2312" w:eastAsia="仿宋_GB2312" w:cs="仿宋_GB2312"/>
          <w:sz w:val="32"/>
          <w:szCs w:val="32"/>
          <w:lang w:eastAsia="zh-CN"/>
        </w:rPr>
        <w:t>），其中副部（省）级以上领导用车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，主要领导干部用车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，机要通信用车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，应急保障用车</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，执法执勤用车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，特种专业技术用车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，离退休干部用车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，其他用车</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r>
        <w:rPr>
          <w:rFonts w:hint="eastAsia" w:ascii="仿宋_GB2312" w:hAnsi="仿宋_GB2312" w:eastAsia="仿宋_GB2312" w:cs="仿宋_GB2312"/>
          <w:sz w:val="32"/>
          <w:szCs w:val="32"/>
          <w:lang w:eastAsia="zh-CN"/>
        </w:rPr>
        <w:t>2020</w:t>
      </w:r>
      <w:r>
        <w:rPr>
          <w:rFonts w:hint="eastAsia" w:ascii="仿宋_GB2312" w:hAnsi="仿宋_GB2312" w:eastAsia="仿宋_GB2312" w:cs="仿宋_GB2312"/>
          <w:sz w:val="32"/>
          <w:szCs w:val="32"/>
        </w:rPr>
        <w:t>年当年购置车辆</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其中公务用车</w:t>
      </w:r>
      <w:r>
        <w:rPr>
          <w:rFonts w:hint="eastAsia" w:ascii="仿宋_GB2312" w:hAnsi="仿宋_GB2312" w:eastAsia="仿宋_GB2312" w:cs="仿宋_GB2312"/>
          <w:sz w:val="32"/>
          <w:szCs w:val="32"/>
        </w:rPr>
        <w:t>购置</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；购置单价50万元以上的通用设备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台（套）；购置单价100万元以上的专用设备</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台（套）。</w:t>
      </w:r>
    </w:p>
    <w:p>
      <w:pPr>
        <w:keepNext w:val="0"/>
        <w:keepLines w:val="0"/>
        <w:pageBreakBefore w:val="0"/>
        <w:widowControl/>
        <w:kinsoku/>
        <w:wordWrap/>
        <w:overflowPunct/>
        <w:topLinePunct w:val="0"/>
        <w:autoSpaceDE/>
        <w:autoSpaceDN/>
        <w:bidi w:val="0"/>
        <w:spacing w:line="560" w:lineRule="exact"/>
        <w:ind w:firstLine="640" w:firstLineChars="200"/>
        <w:jc w:val="left"/>
        <w:textAlignment w:val="auto"/>
        <w:rPr>
          <w:rFonts w:ascii="黑体" w:hAnsi="黑体" w:eastAsia="黑体"/>
          <w:color w:val="000000"/>
          <w:kern w:val="0"/>
          <w:sz w:val="32"/>
          <w:szCs w:val="32"/>
          <w:lang w:bidi="ar"/>
        </w:rPr>
      </w:pPr>
      <w:r>
        <w:rPr>
          <w:rFonts w:hint="eastAsia" w:ascii="黑体" w:hAnsi="黑体" w:eastAsia="黑体"/>
          <w:color w:val="000000"/>
          <w:kern w:val="0"/>
          <w:sz w:val="32"/>
          <w:szCs w:val="32"/>
          <w:lang w:eastAsia="zh-CN" w:bidi="ar"/>
        </w:rPr>
        <w:t>十三、</w:t>
      </w:r>
      <w:r>
        <w:rPr>
          <w:rFonts w:hint="eastAsia" w:ascii="黑体" w:hAnsi="黑体" w:eastAsia="黑体"/>
          <w:color w:val="000000"/>
          <w:kern w:val="0"/>
          <w:sz w:val="32"/>
          <w:szCs w:val="32"/>
          <w:lang w:bidi="ar"/>
        </w:rPr>
        <w:t>预算绩效情况</w:t>
      </w:r>
      <w:r>
        <w:rPr>
          <w:rFonts w:hint="eastAsia" w:ascii="黑体" w:hAnsi="黑体" w:eastAsia="黑体"/>
          <w:color w:val="000000"/>
          <w:kern w:val="0"/>
          <w:sz w:val="32"/>
          <w:szCs w:val="32"/>
          <w:lang w:eastAsia="zh-CN" w:bidi="ar"/>
        </w:rPr>
        <w:t>说明</w:t>
      </w:r>
    </w:p>
    <w:p>
      <w:pPr>
        <w:keepNext w:val="0"/>
        <w:keepLines w:val="0"/>
        <w:pageBreakBefore w:val="0"/>
        <w:widowControl/>
        <w:kinsoku/>
        <w:wordWrap/>
        <w:overflowPunct/>
        <w:topLinePunct w:val="0"/>
        <w:autoSpaceDE/>
        <w:autoSpaceDN/>
        <w:bidi w:val="0"/>
        <w:spacing w:line="560" w:lineRule="exact"/>
        <w:ind w:left="1281" w:leftChars="304" w:hanging="643" w:hanging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（一）</w:t>
      </w:r>
      <w:r>
        <w:rPr>
          <w:rFonts w:ascii="楷体_GB2312" w:hAnsi="宋体" w:eastAsia="楷体_GB2312" w:cs="楷体_GB2312"/>
          <w:b/>
          <w:color w:val="000000"/>
          <w:kern w:val="0"/>
          <w:sz w:val="32"/>
          <w:szCs w:val="32"/>
          <w:lang w:bidi="ar"/>
        </w:rPr>
        <w:t>预算绩效管理工作开展情况</w:t>
      </w:r>
      <w:r>
        <w:rPr>
          <w:rFonts w:hint="eastAsia" w:ascii="楷体_GB2312" w:hAnsi="宋体" w:eastAsia="楷体_GB2312" w:cs="楷体_GB2312"/>
          <w:b/>
          <w:color w:val="000000"/>
          <w:kern w:val="0"/>
          <w:sz w:val="32"/>
          <w:szCs w:val="32"/>
          <w:lang w:eastAsia="zh-CN" w:bidi="ar"/>
        </w:rPr>
        <w:t>说明</w:t>
      </w:r>
      <w:r>
        <w:rPr>
          <w:rFonts w:ascii="楷体_GB2312" w:hAnsi="宋体" w:eastAsia="楷体_GB2312" w:cs="楷体_GB2312"/>
          <w:b/>
          <w:color w:val="000000"/>
          <w:kern w:val="0"/>
          <w:sz w:val="32"/>
          <w:szCs w:val="32"/>
          <w:lang w:bidi="ar"/>
        </w:rPr>
        <w:t>。</w:t>
      </w:r>
      <w:r>
        <w:rPr>
          <w:rFonts w:hint="eastAsia" w:ascii="楷体_GB2312" w:hAnsi="宋体" w:eastAsia="楷体_GB2312" w:cs="楷体_GB2312"/>
          <w:b/>
          <w:color w:val="000000"/>
          <w:kern w:val="0"/>
          <w:sz w:val="32"/>
          <w:szCs w:val="32"/>
          <w:lang w:bidi="ar"/>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rPr>
        <w:t>示例：根据预算绩效管理要求，本部门组织对 2020年一般公共预算项目支出全面开展绩效自评，其中，一级项目</w:t>
      </w:r>
      <w:r>
        <w:rPr>
          <w:rFonts w:hint="eastAsia" w:ascii="仿宋" w:hAnsi="仿宋" w:eastAsia="仿宋" w:cs="仿宋"/>
          <w:sz w:val="32"/>
          <w:szCs w:val="40"/>
          <w:lang w:val="en-US" w:eastAsia="zh-CN"/>
        </w:rPr>
        <w:t>1</w:t>
      </w:r>
      <w:r>
        <w:rPr>
          <w:rFonts w:hint="eastAsia" w:ascii="仿宋" w:hAnsi="仿宋" w:eastAsia="仿宋" w:cs="仿宋"/>
          <w:sz w:val="32"/>
          <w:szCs w:val="40"/>
        </w:rPr>
        <w:t>个，二级项目</w:t>
      </w:r>
      <w:r>
        <w:rPr>
          <w:rFonts w:hint="eastAsia" w:ascii="仿宋" w:hAnsi="仿宋" w:eastAsia="仿宋" w:cs="仿宋"/>
          <w:sz w:val="32"/>
          <w:szCs w:val="40"/>
          <w:lang w:val="en-US" w:eastAsia="zh-CN"/>
        </w:rPr>
        <w:t>5</w:t>
      </w:r>
      <w:r>
        <w:rPr>
          <w:rFonts w:hint="eastAsia" w:ascii="仿宋" w:hAnsi="仿宋" w:eastAsia="仿宋" w:cs="仿宋"/>
          <w:sz w:val="32"/>
          <w:szCs w:val="40"/>
        </w:rPr>
        <w:t>个，共涉及资金</w:t>
      </w:r>
      <w:r>
        <w:rPr>
          <w:rFonts w:hint="eastAsia" w:ascii="仿宋" w:hAnsi="仿宋" w:eastAsia="仿宋" w:cs="仿宋"/>
          <w:sz w:val="32"/>
          <w:szCs w:val="40"/>
          <w:lang w:val="en-US" w:eastAsia="zh-CN"/>
        </w:rPr>
        <w:t>34.3</w:t>
      </w:r>
      <w:r>
        <w:rPr>
          <w:rFonts w:hint="eastAsia" w:ascii="仿宋" w:hAnsi="仿宋" w:eastAsia="仿宋" w:cs="仿宋"/>
          <w:sz w:val="32"/>
          <w:szCs w:val="40"/>
        </w:rPr>
        <w:t>万元，占一般公共预算项目支出总额的</w:t>
      </w:r>
      <w:r>
        <w:rPr>
          <w:rFonts w:hint="eastAsia" w:ascii="仿宋" w:hAnsi="仿宋" w:eastAsia="仿宋" w:cs="仿宋"/>
          <w:sz w:val="32"/>
          <w:szCs w:val="40"/>
          <w:lang w:val="en-US" w:eastAsia="zh-CN"/>
        </w:rPr>
        <w:t>93.7</w:t>
      </w:r>
      <w:r>
        <w:rPr>
          <w:rFonts w:hint="eastAsia" w:ascii="仿宋" w:hAnsi="仿宋" w:eastAsia="仿宋" w:cs="仿宋"/>
          <w:sz w:val="32"/>
          <w:szCs w:val="40"/>
        </w:rPr>
        <w:t>%。组织对 2020年</w:t>
      </w:r>
      <w:r>
        <w:rPr>
          <w:rFonts w:hint="eastAsia" w:ascii="仿宋" w:hAnsi="仿宋" w:eastAsia="仿宋" w:cs="仿宋"/>
          <w:sz w:val="32"/>
          <w:szCs w:val="40"/>
          <w:lang w:val="en-US" w:eastAsia="zh-CN"/>
        </w:rPr>
        <w:t>0</w:t>
      </w:r>
      <w:r>
        <w:rPr>
          <w:rFonts w:hint="eastAsia" w:ascii="仿宋" w:hAnsi="仿宋" w:eastAsia="仿宋" w:cs="仿宋"/>
          <w:sz w:val="32"/>
          <w:szCs w:val="40"/>
        </w:rPr>
        <w:t>个政府性基金预算项目支出开展绩效自评，共涉及资金</w:t>
      </w:r>
      <w:r>
        <w:rPr>
          <w:rFonts w:hint="eastAsia" w:ascii="仿宋" w:hAnsi="仿宋" w:eastAsia="仿宋" w:cs="仿宋"/>
          <w:sz w:val="32"/>
          <w:szCs w:val="40"/>
          <w:lang w:val="en-US" w:eastAsia="zh-CN"/>
        </w:rPr>
        <w:t>0</w:t>
      </w:r>
      <w:r>
        <w:rPr>
          <w:rFonts w:hint="eastAsia" w:ascii="仿宋" w:hAnsi="仿宋" w:eastAsia="仿宋" w:cs="仿宋"/>
          <w:sz w:val="32"/>
          <w:szCs w:val="40"/>
        </w:rPr>
        <w:t>万元，占政府性基金预算项目支出总额的</w:t>
      </w:r>
      <w:r>
        <w:rPr>
          <w:rFonts w:hint="eastAsia" w:ascii="仿宋" w:hAnsi="仿宋" w:eastAsia="仿宋" w:cs="仿宋"/>
          <w:sz w:val="32"/>
          <w:szCs w:val="40"/>
          <w:lang w:val="en-US" w:eastAsia="zh-CN"/>
        </w:rPr>
        <w:t>0</w:t>
      </w:r>
      <w:r>
        <w:rPr>
          <w:rFonts w:hint="eastAsia" w:ascii="仿宋" w:hAnsi="仿宋" w:eastAsia="仿宋" w:cs="仿宋"/>
          <w:sz w:val="32"/>
          <w:szCs w:val="40"/>
        </w:rPr>
        <w:t>%</w:t>
      </w:r>
      <w:r>
        <w:rPr>
          <w:rFonts w:hint="eastAsia" w:ascii="仿宋" w:hAnsi="仿宋" w:eastAsia="仿宋" w:cs="仿宋"/>
          <w:sz w:val="32"/>
          <w:szCs w:val="40"/>
          <w:lang w:eastAsia="zh-CN"/>
        </w:rPr>
        <w:t>。</w:t>
      </w:r>
    </w:p>
    <w:p>
      <w:pPr>
        <w:keepNext w:val="0"/>
        <w:keepLines w:val="0"/>
        <w:pageBreakBefore w:val="0"/>
        <w:widowControl/>
        <w:kinsoku/>
        <w:wordWrap/>
        <w:overflowPunct/>
        <w:topLinePunct w:val="0"/>
        <w:autoSpaceDE/>
        <w:autoSpaceDN/>
        <w:bidi w:val="0"/>
        <w:spacing w:line="560" w:lineRule="exact"/>
        <w:ind w:firstLine="643" w:firstLineChars="200"/>
        <w:jc w:val="left"/>
        <w:textAlignment w:val="auto"/>
        <w:rPr>
          <w:rFonts w:ascii="楷体_GB2312" w:hAnsi="宋体" w:eastAsia="楷体_GB2312" w:cs="楷体_GB2312"/>
          <w:b/>
          <w:color w:val="000000"/>
          <w:kern w:val="0"/>
          <w:sz w:val="32"/>
          <w:szCs w:val="32"/>
          <w:lang w:bidi="ar"/>
        </w:rPr>
      </w:pPr>
      <w:r>
        <w:rPr>
          <w:rFonts w:hint="eastAsia" w:ascii="楷体_GB2312" w:hAnsi="宋体" w:eastAsia="楷体_GB2312" w:cs="楷体_GB2312"/>
          <w:b/>
          <w:color w:val="000000"/>
          <w:kern w:val="0"/>
          <w:sz w:val="32"/>
          <w:szCs w:val="32"/>
          <w:lang w:bidi="ar"/>
        </w:rPr>
        <w:t>（二）</w:t>
      </w:r>
      <w:r>
        <w:rPr>
          <w:rFonts w:ascii="楷体_GB2312" w:hAnsi="宋体" w:eastAsia="楷体_GB2312" w:cs="楷体_GB2312"/>
          <w:b/>
          <w:color w:val="000000"/>
          <w:kern w:val="0"/>
          <w:sz w:val="32"/>
          <w:szCs w:val="32"/>
          <w:lang w:bidi="ar"/>
        </w:rPr>
        <w:t>部门决算中项目绩效自评结果。</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本部门在市级部门决算中反映机构编制业务等1个一级项目绩效自评结果。</w:t>
      </w:r>
    </w:p>
    <w:p>
      <w:pPr>
        <w:spacing w:line="574" w:lineRule="exact"/>
        <w:ind w:firstLine="640" w:firstLineChars="200"/>
        <w:textAlignment w:val="baseline"/>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pPr>
      <w:r>
        <w:rPr>
          <w:rFonts w:hint="eastAsia" w:ascii="仿宋" w:hAnsi="仿宋" w:eastAsia="仿宋" w:cs="仿宋"/>
          <w:sz w:val="32"/>
          <w:szCs w:val="40"/>
          <w:lang w:val="en-US" w:eastAsia="zh-CN"/>
        </w:rPr>
        <w:t>1.机构编制业务</w:t>
      </w:r>
      <w:r>
        <w:rPr>
          <w:rFonts w:hint="eastAsia" w:ascii="仿宋" w:hAnsi="仿宋" w:eastAsia="仿宋" w:cs="仿宋"/>
          <w:sz w:val="32"/>
          <w:szCs w:val="40"/>
        </w:rPr>
        <w:t>项目绩效自评综述：项目全年预算数</w:t>
      </w:r>
      <w:r>
        <w:rPr>
          <w:rFonts w:hint="eastAsia" w:ascii="仿宋" w:hAnsi="仿宋" w:eastAsia="仿宋" w:cs="仿宋"/>
          <w:sz w:val="32"/>
          <w:szCs w:val="40"/>
          <w:lang w:val="en-US" w:eastAsia="zh-CN"/>
        </w:rPr>
        <w:t>36.6</w:t>
      </w:r>
      <w:r>
        <w:rPr>
          <w:rFonts w:hint="eastAsia" w:ascii="仿宋" w:hAnsi="仿宋" w:eastAsia="仿宋" w:cs="仿宋"/>
          <w:sz w:val="32"/>
          <w:szCs w:val="40"/>
        </w:rPr>
        <w:t>万元，执行数</w:t>
      </w:r>
      <w:r>
        <w:rPr>
          <w:rFonts w:hint="eastAsia" w:ascii="仿宋" w:hAnsi="仿宋" w:eastAsia="仿宋" w:cs="仿宋"/>
          <w:sz w:val="32"/>
          <w:szCs w:val="40"/>
          <w:lang w:val="en-US" w:eastAsia="zh-CN"/>
        </w:rPr>
        <w:t>34.4</w:t>
      </w:r>
      <w:r>
        <w:rPr>
          <w:rFonts w:hint="eastAsia" w:ascii="仿宋" w:hAnsi="仿宋" w:eastAsia="仿宋" w:cs="仿宋"/>
          <w:sz w:val="32"/>
          <w:szCs w:val="40"/>
        </w:rPr>
        <w:t>万元，完成预算的</w:t>
      </w:r>
      <w:r>
        <w:rPr>
          <w:rFonts w:hint="eastAsia" w:ascii="仿宋" w:hAnsi="仿宋" w:eastAsia="仿宋" w:cs="仿宋"/>
          <w:sz w:val="32"/>
          <w:szCs w:val="40"/>
          <w:lang w:val="en-US" w:eastAsia="zh-CN"/>
        </w:rPr>
        <w:t>93.7</w:t>
      </w:r>
      <w:r>
        <w:rPr>
          <w:rFonts w:hint="eastAsia" w:ascii="仿宋" w:hAnsi="仿宋" w:eastAsia="仿宋" w:cs="仿宋"/>
          <w:sz w:val="32"/>
          <w:szCs w:val="40"/>
        </w:rPr>
        <w:t>%。</w:t>
      </w:r>
      <w:r>
        <w:rPr>
          <w:rFonts w:hint="eastAsia" w:ascii="仿宋" w:hAnsi="仿宋" w:eastAsia="仿宋" w:cs="仿宋"/>
          <w:sz w:val="32"/>
          <w:szCs w:val="40"/>
          <w:lang w:val="en-US" w:eastAsia="zh-CN"/>
        </w:rPr>
        <w:t>项目绩效目标完成情况：</w:t>
      </w:r>
      <w:r>
        <w:rPr>
          <w:rFonts w:hint="eastAsia" w:ascii="仿宋_GB2312" w:eastAsia="仿宋_GB2312"/>
          <w:color w:val="000000" w:themeColor="text1"/>
          <w:spacing w:val="-8"/>
          <w:sz w:val="32"/>
          <w:szCs w:val="32"/>
          <w14:textFill>
            <w14:solidFill>
              <w14:schemeClr w14:val="tx1"/>
            </w14:solidFill>
          </w14:textFill>
        </w:rPr>
        <w:t>按照《市委全面深化改革委员会2020年工作要点》和《市级领导领衔推进2020年重大改革事项》等文件要求，市委编办纳入台账管理的改革任务共4项，即“持续释放党政机构改革红利，制定完善组织、财政、人事等配套政策”“深化市场监管、生态环境保护、文化市场、交通运输、农业等五个领域综合执法改革，全面推进基层审批服务执法力量整合”“深入推进经济发达镇行政管理体制改革”和“探索建立县区和开发区分类发展、分类监管、分类定责、分类考核机制”。目前，深化改革任务已全面完成，其中推进开发区改革的调研报告成果</w:t>
      </w:r>
      <w:r>
        <w:rPr>
          <w:rFonts w:hint="eastAsia" w:ascii="仿宋_GB2312" w:hAnsi="仿宋_GB2312" w:eastAsia="仿宋_GB2312" w:cs="仿宋_GB2312"/>
          <w:color w:val="000000" w:themeColor="text1"/>
          <w:spacing w:val="-8"/>
          <w:sz w:val="32"/>
          <w:szCs w:val="32"/>
          <w14:textFill>
            <w14:solidFill>
              <w14:schemeClr w14:val="tx1"/>
            </w14:solidFill>
          </w14:textFill>
        </w:rPr>
        <w:t>已被吸纳进市委十二届九次全会领导讲话和有关文件内容当中，五大领域综合行政执法改革走在全省前列，</w:t>
      </w:r>
      <w:r>
        <w:rPr>
          <w:rFonts w:hint="eastAsia" w:ascii="仿宋_GB2312" w:eastAsia="仿宋_GB2312"/>
          <w:color w:val="000000" w:themeColor="text1"/>
          <w:spacing w:val="-8"/>
          <w:sz w:val="32"/>
          <w:szCs w:val="32"/>
          <w14:textFill>
            <w14:solidFill>
              <w14:schemeClr w14:val="tx1"/>
            </w14:solidFill>
          </w14:textFill>
        </w:rPr>
        <w:t>受到市委主要领导的充分肯定</w:t>
      </w:r>
      <w:r>
        <w:rPr>
          <w:rFonts w:hint="eastAsia" w:ascii="仿宋" w:hAnsi="仿宋" w:eastAsia="仿宋" w:cs="仿宋"/>
          <w:sz w:val="32"/>
          <w:szCs w:val="40"/>
        </w:rPr>
        <w:t>。发现的问题及原因：</w:t>
      </w:r>
      <w:r>
        <w:rPr>
          <w:rFonts w:hint="eastAsia" w:ascii="仿宋_GB2312" w:hAnsi="仿宋_GB2312" w:eastAsia="仿宋_GB2312" w:cs="仿宋_GB2312"/>
          <w:color w:val="000000" w:themeColor="text1"/>
          <w:spacing w:val="-8"/>
          <w:sz w:val="32"/>
          <w:szCs w:val="32"/>
          <w14:textFill>
            <w14:solidFill>
              <w14:schemeClr w14:val="tx1"/>
            </w14:solidFill>
          </w14:textFill>
        </w:rPr>
        <w:t>支出进度较慢，预算绩效不准确。下一步改进措施：科学合理编制预算，将绩效管理责任分解</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14:textFill>
            <w14:solidFill>
              <w14:schemeClr w14:val="tx1"/>
            </w14:solidFill>
          </w14:textFill>
        </w:rPr>
        <w:t>落实到具体处室、明确到具体责任人，确保每一笔资金花得安全、用得高效。</w:t>
      </w: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ascii="楷体" w:hAnsi="楷体" w:eastAsia="楷体" w:cs="楷体"/>
          <w:sz w:val="32"/>
          <w:szCs w:val="32"/>
        </w:rPr>
      </w:pPr>
    </w:p>
    <w:p>
      <w:pPr>
        <w:rPr>
          <w:rFonts w:hint="eastAsia" w:ascii="楷体" w:hAnsi="楷体" w:eastAsia="楷体" w:cs="楷体"/>
          <w:b/>
          <w:bCs/>
          <w:sz w:val="32"/>
          <w:szCs w:val="40"/>
          <w:lang w:val="en-US" w:eastAsia="zh-CN"/>
        </w:rPr>
      </w:pPr>
      <w:r>
        <w:rPr>
          <w:rFonts w:hint="eastAsia" w:ascii="楷体" w:hAnsi="楷体" w:eastAsia="楷体" w:cs="楷体"/>
          <w:sz w:val="32"/>
          <w:szCs w:val="32"/>
          <w:lang w:eastAsia="zh-CN"/>
        </w:rPr>
        <w:object>
          <v:shape id="_x0000_i1025" o:spt="75" type="#_x0000_t75" style="height:637.95pt;width:541.1pt;" o:ole="t" filled="f" o:preferrelative="t" stroked="f" coordsize="21600,21600">
            <v:path/>
            <v:fill on="f" focussize="0,0"/>
            <v:stroke on="f"/>
            <v:imagedata r:id="rId13" o:title=""/>
            <o:lock v:ext="edit" aspectratio="t"/>
            <w10:wrap type="none"/>
            <w10:anchorlock/>
          </v:shape>
          <o:OLEObject Type="Embed" ProgID="Excel.Sheet.12" ShapeID="_x0000_i1025" DrawAspect="Content" ObjectID="_1468075725" r:id="rId12">
            <o:LockedField>false</o:LockedField>
          </o:OLEObject>
        </w:object>
      </w:r>
      <w:r>
        <w:rPr>
          <w:rFonts w:hint="eastAsia" w:ascii="楷体" w:hAnsi="楷体" w:eastAsia="楷体" w:cs="楷体"/>
          <w:sz w:val="32"/>
          <w:szCs w:val="32"/>
          <w:lang w:val="en-US" w:eastAsia="zh-CN"/>
        </w:rPr>
        <w:t xml:space="preserve">    </w:t>
      </w:r>
      <w:r>
        <w:rPr>
          <w:rFonts w:hint="eastAsia" w:ascii="楷体" w:hAnsi="楷体" w:eastAsia="楷体" w:cs="楷体"/>
          <w:b/>
          <w:bCs/>
          <w:sz w:val="32"/>
          <w:szCs w:val="40"/>
          <w:lang w:val="en-US" w:eastAsia="zh-CN"/>
        </w:rPr>
        <w:t>（三）部门整体支出绩效自评结果。</w:t>
      </w:r>
    </w:p>
    <w:p>
      <w:pPr>
        <w:spacing w:line="574" w:lineRule="exact"/>
        <w:ind w:firstLine="640" w:firstLineChars="200"/>
        <w:textAlignment w:val="baseline"/>
        <w:rPr>
          <w:rFonts w:hint="eastAsia" w:ascii="仿宋" w:hAnsi="仿宋" w:eastAsia="仿宋" w:cs="仿宋"/>
          <w:sz w:val="32"/>
          <w:szCs w:val="40"/>
          <w:lang w:eastAsia="zh-CN"/>
        </w:rPr>
      </w:pPr>
      <w:r>
        <w:rPr>
          <w:rFonts w:hint="eastAsia" w:ascii="仿宋" w:hAnsi="仿宋" w:eastAsia="仿宋" w:cs="仿宋"/>
          <w:sz w:val="32"/>
          <w:szCs w:val="40"/>
          <w:lang w:val="en-US" w:eastAsia="zh-CN"/>
        </w:rPr>
        <w:t>根据部门整体支出绩效自评指标体系，本部门自评得分</w:t>
      </w:r>
      <w:r>
        <w:rPr>
          <w:rFonts w:hint="eastAsia" w:ascii="仿宋" w:hAnsi="仿宋" w:eastAsia="仿宋" w:cs="仿宋"/>
          <w:sz w:val="32"/>
          <w:szCs w:val="40"/>
        </w:rPr>
        <w:t>**</w:t>
      </w:r>
      <w:r>
        <w:rPr>
          <w:rFonts w:hint="eastAsia" w:ascii="仿宋" w:hAnsi="仿宋" w:eastAsia="仿宋" w:cs="仿宋"/>
          <w:sz w:val="32"/>
          <w:szCs w:val="40"/>
          <w:lang w:val="en-US" w:eastAsia="zh-CN"/>
        </w:rPr>
        <w:t>分。部门整体支出全年预算数36.6万元，执行数34.3万元，完成预算的93.7%。本年度部门总体运行情况及取得的成绩：</w:t>
      </w:r>
      <w:r>
        <w:rPr>
          <w:rFonts w:hint="eastAsia" w:ascii="仿宋_GB2312" w:eastAsia="仿宋_GB2312"/>
          <w:color w:val="000000" w:themeColor="text1"/>
          <w:spacing w:val="-8"/>
          <w:sz w:val="32"/>
          <w:szCs w:val="32"/>
          <w14:textFill>
            <w14:solidFill>
              <w14:schemeClr w14:val="tx1"/>
            </w14:solidFill>
          </w14:textFill>
        </w:rPr>
        <w:t>按照《市委全面深化改革委员会2020年工作要点》和《市级领导领衔推进2020年重大改革事项》等文件要求，市委编办纳入台账管理的改革任务共4项，即“持续释放党政机构改革红利，制定完善组织、财政、人事等配套政策”“深化市场监管、生态环境保护、文化市场、交通运输、农业等五个领域综合执法改革，全面推进基层审批服务执法力量整合”“深入推进经济发达镇行政管理体制改革”和“探索建立县区和开发区分类发展、分类监管、分类定责、分类考核机制”。目前，深化改革任务已全面完成，其中推进开发区改革的调研报告成果</w:t>
      </w:r>
      <w:r>
        <w:rPr>
          <w:rFonts w:hint="eastAsia" w:ascii="仿宋_GB2312" w:hAnsi="仿宋_GB2312" w:eastAsia="仿宋_GB2312" w:cs="仿宋_GB2312"/>
          <w:color w:val="000000" w:themeColor="text1"/>
          <w:spacing w:val="-8"/>
          <w:sz w:val="32"/>
          <w:szCs w:val="32"/>
          <w14:textFill>
            <w14:solidFill>
              <w14:schemeClr w14:val="tx1"/>
            </w14:solidFill>
          </w14:textFill>
        </w:rPr>
        <w:t>已被吸纳进市委十二届九次全会领导讲话和有关文件内容当中，五大领域综合行政执法改革走在全省前列，</w:t>
      </w:r>
      <w:r>
        <w:rPr>
          <w:rFonts w:hint="eastAsia" w:ascii="仿宋_GB2312" w:eastAsia="仿宋_GB2312"/>
          <w:color w:val="000000" w:themeColor="text1"/>
          <w:spacing w:val="-8"/>
          <w:sz w:val="32"/>
          <w:szCs w:val="32"/>
          <w14:textFill>
            <w14:solidFill>
              <w14:schemeClr w14:val="tx1"/>
            </w14:solidFill>
          </w14:textFill>
        </w:rPr>
        <w:t>受到市委主要领导的充分肯定</w:t>
      </w:r>
      <w:r>
        <w:rPr>
          <w:rFonts w:hint="eastAsia" w:ascii="仿宋" w:hAnsi="仿宋" w:eastAsia="仿宋" w:cs="仿宋"/>
          <w:sz w:val="32"/>
          <w:szCs w:val="40"/>
          <w:lang w:eastAsia="zh-CN"/>
        </w:rPr>
        <w:t>。</w:t>
      </w:r>
      <w:r>
        <w:rPr>
          <w:rFonts w:hint="eastAsia" w:ascii="仿宋" w:hAnsi="仿宋" w:eastAsia="仿宋" w:cs="仿宋"/>
          <w:sz w:val="32"/>
          <w:szCs w:val="40"/>
        </w:rPr>
        <w:t>发现的问题及原因：</w:t>
      </w:r>
      <w:r>
        <w:rPr>
          <w:rFonts w:hint="eastAsia" w:ascii="仿宋_GB2312" w:hAnsi="仿宋_GB2312" w:eastAsia="仿宋_GB2312" w:cs="仿宋_GB2312"/>
          <w:color w:val="000000" w:themeColor="text1"/>
          <w:spacing w:val="-8"/>
          <w:sz w:val="32"/>
          <w:szCs w:val="32"/>
          <w14:textFill>
            <w14:solidFill>
              <w14:schemeClr w14:val="tx1"/>
            </w14:solidFill>
          </w14:textFill>
        </w:rPr>
        <w:t>支出进度较慢，预算绩效不准确。下一步改进措施：科学合理编制预算，将绩效管理责任分解</w:t>
      </w:r>
      <w:r>
        <w:rPr>
          <w:rFonts w:hint="eastAsia" w:ascii="仿宋_GB2312" w:hAnsi="仿宋_GB2312" w:eastAsia="仿宋_GB2312" w:cs="仿宋_GB2312"/>
          <w:color w:val="000000" w:themeColor="text1"/>
          <w:spacing w:val="-8"/>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8"/>
          <w:sz w:val="32"/>
          <w:szCs w:val="32"/>
          <w14:textFill>
            <w14:solidFill>
              <w14:schemeClr w14:val="tx1"/>
            </w14:solidFill>
          </w14:textFill>
        </w:rPr>
        <w:t>落实到具体处室、明确到具体责任人，确保每一笔资金花得安全、用得高效。</w:t>
      </w: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rPr>
          <w:rFonts w:hint="eastAsia" w:ascii="楷体" w:hAnsi="楷体" w:eastAsia="楷体" w:cs="楷体"/>
          <w:sz w:val="32"/>
          <w:szCs w:val="32"/>
          <w:lang w:eastAsia="zh-CN"/>
        </w:rPr>
      </w:pPr>
    </w:p>
    <w:p>
      <w:pPr>
        <w:jc w:val="center"/>
        <w:rPr>
          <w:rFonts w:hint="eastAsia" w:ascii="方正小标宋简体" w:hAnsi="方正小标宋简体" w:eastAsia="方正小标宋简体" w:cs="方正小标宋简体"/>
          <w:sz w:val="44"/>
          <w:szCs w:val="44"/>
        </w:rPr>
      </w:pPr>
      <w:r>
        <w:rPr>
          <w:rFonts w:hint="eastAsia" w:ascii="楷体" w:hAnsi="楷体" w:eastAsia="楷体" w:cs="楷体"/>
          <w:sz w:val="32"/>
          <w:szCs w:val="32"/>
          <w:lang w:eastAsia="zh-CN"/>
        </w:rPr>
        <w:object>
          <v:shape id="_x0000_i1026" o:spt="75" type="#_x0000_t75" style="height:647.3pt;width:450.1pt;" o:ole="t" filled="f" o:preferrelative="t" stroked="f" coordsize="21600,21600">
            <v:path/>
            <v:fill on="f" focussize="0,0"/>
            <v:stroke on="f"/>
            <v:imagedata r:id="rId15" o:title=""/>
            <o:lock v:ext="edit" aspectratio="t"/>
            <w10:wrap type="none"/>
            <w10:anchorlock/>
          </v:shape>
          <o:OLEObject Type="Embed" ProgID="Excel.Sheet.12" ShapeID="_x0000_i1026" DrawAspect="Content" ObjectID="_1468075726" r:id="rId14">
            <o:LockedField>false</o:LockedField>
          </o:OLEObject>
        </w:object>
      </w:r>
      <w:r>
        <w:rPr>
          <w:rFonts w:hint="eastAsia" w:ascii="方正小标宋简体" w:hAnsi="方正小标宋简体" w:eastAsia="方正小标宋简体" w:cs="方正小标宋简体"/>
          <w:color w:val="000000"/>
          <w:kern w:val="0"/>
          <w:sz w:val="44"/>
          <w:szCs w:val="44"/>
          <w:lang w:bidi="ar"/>
        </w:rPr>
        <w:t>第四部分 专业名词解释</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1.基本支出</w:t>
      </w:r>
      <w:r>
        <w:rPr>
          <w:rFonts w:hint="eastAsia" w:ascii="仿宋_GB2312" w:hAnsi="仿宋_GB2312" w:eastAsia="仿宋_GB2312" w:cs="仿宋_GB2312"/>
          <w:sz w:val="32"/>
          <w:szCs w:val="32"/>
        </w:rPr>
        <w:t>：指为保障机构正常运转、完成日常工作任务而发生的各项支出。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2.项目支出</w:t>
      </w:r>
      <w:r>
        <w:rPr>
          <w:rFonts w:hint="eastAsia" w:ascii="仿宋_GB2312" w:hAnsi="仿宋_GB2312" w:eastAsia="仿宋_GB2312" w:cs="仿宋_GB2312"/>
          <w:sz w:val="32"/>
          <w:szCs w:val="32"/>
        </w:rPr>
        <w:t>：指单位为完成特定的行政工作任务或事业发展目标所发生的各项支出。</w:t>
      </w:r>
    </w:p>
    <w:p>
      <w:pPr>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3.“三公”经费</w:t>
      </w:r>
      <w:r>
        <w:rPr>
          <w:rFonts w:hint="eastAsia" w:ascii="仿宋_GB2312" w:hAnsi="仿宋_GB2312" w:eastAsia="仿宋_GB2312" w:cs="仿宋_GB2312"/>
          <w:sz w:val="32"/>
          <w:szCs w:val="32"/>
        </w:rPr>
        <w:t>：指部门使用一般公共预算财政拨款安排的因公出国（境）费、公务用车购置及运行费和公务接待费支出。</w:t>
      </w:r>
    </w:p>
    <w:p>
      <w:pPr>
        <w:ind w:firstLine="64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rPr>
        <w:t>4.财政拨款收入</w:t>
      </w:r>
      <w:r>
        <w:rPr>
          <w:rFonts w:hint="eastAsia" w:ascii="仿宋_GB2312" w:hAnsi="仿宋_GB2312" w:eastAsia="仿宋_GB2312" w:cs="仿宋_GB2312"/>
          <w:sz w:val="32"/>
          <w:szCs w:val="32"/>
        </w:rPr>
        <w:t>：指本级财政当年拨付的资金。</w:t>
      </w:r>
    </w:p>
    <w:sectPr>
      <w:footerReference r:id="rId4" w:type="default"/>
      <w:pgSz w:w="11906" w:h="16838"/>
      <w:pgMar w:top="2098" w:right="1474" w:bottom="1984" w:left="1587" w:header="851" w:footer="992" w:gutter="0"/>
      <w:pgNumType w:fmt="decimal" w:start="1"/>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4"/>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posOffset>2434590</wp:posOffset>
              </wp:positionH>
              <wp:positionV relativeFrom="paragraph">
                <wp:posOffset>21590</wp:posOffset>
              </wp:positionV>
              <wp:extent cx="669290" cy="1682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669290" cy="1682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1.7pt;margin-top:1.7pt;height:13.25pt;width:52.7pt;mso-position-horizontal-relative:margin;z-index:251661312;mso-width-relative:page;mso-height-relative:page;" filled="f" stroked="f" coordsize="21600,21600" o:gfxdata="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kBcPrYAAAACAEAAA8AAAAAAAAAAQAgAAAAIgAAAGRycy9kb3du&#10;cmV2LnhtbFBLAQIUABQAAAAIAIdO4kD8XcyUOAIAAGEEAAAOAAAAAAAAAAEAIAAAACcBAABkcnMv&#10;ZTJvRG9jLnhtbFBLBQYAAAAABgAGAFkBAADRBQAAAAA=&#10;">
              <v:fill on="f" focussize="0,0"/>
              <v:stroke on="f" weight="0.5pt"/>
              <v:imagedata o:title=""/>
              <o:lock v:ext="edit" aspectratio="f"/>
              <v:textbox inset="0mm,0mm,0mm,0mm">
                <w:txbxContent>
                  <w:p>
                    <w:pPr>
                      <w:pStyle w:val="4"/>
                      <w:rPr>
                        <w:rFonts w:hint="eastAsia" w:eastAsia="宋体"/>
                        <w:lang w:eastAsia="zh-CN"/>
                      </w:rPr>
                    </w:pP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DEF3F"/>
    <w:multiLevelType w:val="singleLevel"/>
    <w:tmpl w:val="002DEF3F"/>
    <w:lvl w:ilvl="0" w:tentative="0">
      <w:start w:val="2"/>
      <w:numFmt w:val="decimal"/>
      <w:lvlText w:val="%1."/>
      <w:lvlJc w:val="left"/>
      <w:pPr>
        <w:tabs>
          <w:tab w:val="left" w:pos="312"/>
        </w:tabs>
      </w:pPr>
    </w:lvl>
  </w:abstractNum>
  <w:abstractNum w:abstractNumId="1">
    <w:nsid w:val="20906438"/>
    <w:multiLevelType w:val="singleLevel"/>
    <w:tmpl w:val="20906438"/>
    <w:lvl w:ilvl="0" w:tentative="0">
      <w:start w:val="2"/>
      <w:numFmt w:val="chineseCounting"/>
      <w:suff w:val="nothing"/>
      <w:lvlText w:val="（%1）"/>
      <w:lvlJc w:val="left"/>
      <w:pPr>
        <w:ind w:left="-13"/>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31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1AA6038"/>
    <w:rsid w:val="00050E89"/>
    <w:rsid w:val="000C1D41"/>
    <w:rsid w:val="00146787"/>
    <w:rsid w:val="00164001"/>
    <w:rsid w:val="001D7568"/>
    <w:rsid w:val="002424C8"/>
    <w:rsid w:val="002A7893"/>
    <w:rsid w:val="003364E9"/>
    <w:rsid w:val="00452E2E"/>
    <w:rsid w:val="004B6D6E"/>
    <w:rsid w:val="00813F4A"/>
    <w:rsid w:val="00B80654"/>
    <w:rsid w:val="00E8111E"/>
    <w:rsid w:val="00F2438C"/>
    <w:rsid w:val="013B79AC"/>
    <w:rsid w:val="019C1B50"/>
    <w:rsid w:val="01B478BC"/>
    <w:rsid w:val="01BE4C9B"/>
    <w:rsid w:val="0260209E"/>
    <w:rsid w:val="031109AB"/>
    <w:rsid w:val="03297126"/>
    <w:rsid w:val="037E66EA"/>
    <w:rsid w:val="03801F38"/>
    <w:rsid w:val="03B816C0"/>
    <w:rsid w:val="04984E18"/>
    <w:rsid w:val="05316136"/>
    <w:rsid w:val="05BB01B0"/>
    <w:rsid w:val="05E87F43"/>
    <w:rsid w:val="06355FB8"/>
    <w:rsid w:val="06552F4F"/>
    <w:rsid w:val="06897F8C"/>
    <w:rsid w:val="068D6E55"/>
    <w:rsid w:val="06C90B6C"/>
    <w:rsid w:val="06F10C2E"/>
    <w:rsid w:val="07115055"/>
    <w:rsid w:val="07216F89"/>
    <w:rsid w:val="079D3E24"/>
    <w:rsid w:val="0840789B"/>
    <w:rsid w:val="08E42EAC"/>
    <w:rsid w:val="08FE5535"/>
    <w:rsid w:val="098B66F4"/>
    <w:rsid w:val="0A884BEE"/>
    <w:rsid w:val="0C6A12ED"/>
    <w:rsid w:val="0C73497F"/>
    <w:rsid w:val="0D6A1909"/>
    <w:rsid w:val="0F0E7DE6"/>
    <w:rsid w:val="0F497D48"/>
    <w:rsid w:val="0F5A29BC"/>
    <w:rsid w:val="0F873FEB"/>
    <w:rsid w:val="10137294"/>
    <w:rsid w:val="101E4239"/>
    <w:rsid w:val="106D325B"/>
    <w:rsid w:val="10BB651B"/>
    <w:rsid w:val="10D7210C"/>
    <w:rsid w:val="1153227B"/>
    <w:rsid w:val="117D027E"/>
    <w:rsid w:val="11B81244"/>
    <w:rsid w:val="11B977C6"/>
    <w:rsid w:val="120117F3"/>
    <w:rsid w:val="125E2600"/>
    <w:rsid w:val="12AA2A0B"/>
    <w:rsid w:val="132E46A0"/>
    <w:rsid w:val="135556F4"/>
    <w:rsid w:val="13E64849"/>
    <w:rsid w:val="14411117"/>
    <w:rsid w:val="14864ECB"/>
    <w:rsid w:val="15091856"/>
    <w:rsid w:val="150F49F0"/>
    <w:rsid w:val="1586116E"/>
    <w:rsid w:val="16C844AF"/>
    <w:rsid w:val="17617781"/>
    <w:rsid w:val="1819271A"/>
    <w:rsid w:val="18BB4AD7"/>
    <w:rsid w:val="18CD016C"/>
    <w:rsid w:val="190B2EEF"/>
    <w:rsid w:val="1B4A3FDA"/>
    <w:rsid w:val="1B524C98"/>
    <w:rsid w:val="1B5A19A6"/>
    <w:rsid w:val="1B9144BF"/>
    <w:rsid w:val="1BA94209"/>
    <w:rsid w:val="1C135A3A"/>
    <w:rsid w:val="1C5E2F73"/>
    <w:rsid w:val="1C9A1899"/>
    <w:rsid w:val="1CDC0EDB"/>
    <w:rsid w:val="1D555838"/>
    <w:rsid w:val="1D6E0C0D"/>
    <w:rsid w:val="1DC04925"/>
    <w:rsid w:val="1E0804EF"/>
    <w:rsid w:val="1E137798"/>
    <w:rsid w:val="1E2F34ED"/>
    <w:rsid w:val="1E8F7005"/>
    <w:rsid w:val="1EBB68B0"/>
    <w:rsid w:val="1EF768A5"/>
    <w:rsid w:val="1F4C09CC"/>
    <w:rsid w:val="1F82781A"/>
    <w:rsid w:val="20EF4457"/>
    <w:rsid w:val="215277C5"/>
    <w:rsid w:val="2157627B"/>
    <w:rsid w:val="21D45172"/>
    <w:rsid w:val="21DE4951"/>
    <w:rsid w:val="221C15BB"/>
    <w:rsid w:val="22366627"/>
    <w:rsid w:val="22EA521A"/>
    <w:rsid w:val="23022B5F"/>
    <w:rsid w:val="234A72E3"/>
    <w:rsid w:val="239B6798"/>
    <w:rsid w:val="23A7746D"/>
    <w:rsid w:val="23A97037"/>
    <w:rsid w:val="23AD51D9"/>
    <w:rsid w:val="23E4344C"/>
    <w:rsid w:val="23F02655"/>
    <w:rsid w:val="25030AD3"/>
    <w:rsid w:val="260755CD"/>
    <w:rsid w:val="2706161D"/>
    <w:rsid w:val="279D2F4E"/>
    <w:rsid w:val="29785A6B"/>
    <w:rsid w:val="29A532F4"/>
    <w:rsid w:val="2B3004D9"/>
    <w:rsid w:val="2B372DE7"/>
    <w:rsid w:val="2B547244"/>
    <w:rsid w:val="2B965042"/>
    <w:rsid w:val="2BB30DB5"/>
    <w:rsid w:val="2C7831D4"/>
    <w:rsid w:val="2D1F3974"/>
    <w:rsid w:val="2D4E52F3"/>
    <w:rsid w:val="2D657953"/>
    <w:rsid w:val="2DB52EF2"/>
    <w:rsid w:val="2E5357E5"/>
    <w:rsid w:val="2E637505"/>
    <w:rsid w:val="2E64620B"/>
    <w:rsid w:val="2E972720"/>
    <w:rsid w:val="2ECE2F4C"/>
    <w:rsid w:val="2EE705B6"/>
    <w:rsid w:val="2F501C41"/>
    <w:rsid w:val="2F9F11D3"/>
    <w:rsid w:val="2FDD12BD"/>
    <w:rsid w:val="311A25F7"/>
    <w:rsid w:val="318C1BE0"/>
    <w:rsid w:val="31AA6038"/>
    <w:rsid w:val="32AD48AE"/>
    <w:rsid w:val="33066391"/>
    <w:rsid w:val="33887EE3"/>
    <w:rsid w:val="34361883"/>
    <w:rsid w:val="34677C61"/>
    <w:rsid w:val="34BF6EE1"/>
    <w:rsid w:val="34F770EA"/>
    <w:rsid w:val="353D72E8"/>
    <w:rsid w:val="354336EF"/>
    <w:rsid w:val="36166754"/>
    <w:rsid w:val="369D53DB"/>
    <w:rsid w:val="377F1B4A"/>
    <w:rsid w:val="380E2D7B"/>
    <w:rsid w:val="38281BC9"/>
    <w:rsid w:val="3894484C"/>
    <w:rsid w:val="391378A1"/>
    <w:rsid w:val="3A555FE3"/>
    <w:rsid w:val="3A667E54"/>
    <w:rsid w:val="3A680566"/>
    <w:rsid w:val="3AF84856"/>
    <w:rsid w:val="3B121AD1"/>
    <w:rsid w:val="3B872A09"/>
    <w:rsid w:val="3C0D61D4"/>
    <w:rsid w:val="3C2858FF"/>
    <w:rsid w:val="3CBF7507"/>
    <w:rsid w:val="3CFD0D2E"/>
    <w:rsid w:val="3D036ADB"/>
    <w:rsid w:val="3D2B193B"/>
    <w:rsid w:val="3D7312ED"/>
    <w:rsid w:val="3E3B3568"/>
    <w:rsid w:val="3E445167"/>
    <w:rsid w:val="3E6F2482"/>
    <w:rsid w:val="3F0D0FB4"/>
    <w:rsid w:val="3F7E7923"/>
    <w:rsid w:val="3FC161B5"/>
    <w:rsid w:val="3FC35515"/>
    <w:rsid w:val="3FE95844"/>
    <w:rsid w:val="40054445"/>
    <w:rsid w:val="40B24659"/>
    <w:rsid w:val="4126169A"/>
    <w:rsid w:val="41603979"/>
    <w:rsid w:val="419A2805"/>
    <w:rsid w:val="41CF436B"/>
    <w:rsid w:val="427A33EE"/>
    <w:rsid w:val="42C84DC3"/>
    <w:rsid w:val="42D20821"/>
    <w:rsid w:val="434725C6"/>
    <w:rsid w:val="43D5498E"/>
    <w:rsid w:val="441F3607"/>
    <w:rsid w:val="442E4A85"/>
    <w:rsid w:val="443B2E6C"/>
    <w:rsid w:val="44877D5A"/>
    <w:rsid w:val="45396233"/>
    <w:rsid w:val="4619368A"/>
    <w:rsid w:val="470D3B50"/>
    <w:rsid w:val="48032740"/>
    <w:rsid w:val="48CD4977"/>
    <w:rsid w:val="49EA5EF7"/>
    <w:rsid w:val="4A0969CB"/>
    <w:rsid w:val="4A2529CA"/>
    <w:rsid w:val="4C8E7620"/>
    <w:rsid w:val="4CC53D38"/>
    <w:rsid w:val="4CE07C70"/>
    <w:rsid w:val="4D010E4E"/>
    <w:rsid w:val="4D20509F"/>
    <w:rsid w:val="4D5B44C8"/>
    <w:rsid w:val="4D6E0FDF"/>
    <w:rsid w:val="4DC26F8C"/>
    <w:rsid w:val="4DC67545"/>
    <w:rsid w:val="4E1C7823"/>
    <w:rsid w:val="4E680739"/>
    <w:rsid w:val="4E9E38A3"/>
    <w:rsid w:val="4EE4307A"/>
    <w:rsid w:val="4F3A0E0A"/>
    <w:rsid w:val="4F9B5CD0"/>
    <w:rsid w:val="50153BDD"/>
    <w:rsid w:val="51512CCC"/>
    <w:rsid w:val="5153143F"/>
    <w:rsid w:val="520C3BBA"/>
    <w:rsid w:val="52104C99"/>
    <w:rsid w:val="52820A4B"/>
    <w:rsid w:val="52FB7980"/>
    <w:rsid w:val="52FE37F2"/>
    <w:rsid w:val="532A7C8C"/>
    <w:rsid w:val="53CE3F8A"/>
    <w:rsid w:val="54A713B2"/>
    <w:rsid w:val="54D24D50"/>
    <w:rsid w:val="54F12DEE"/>
    <w:rsid w:val="54FF6D5F"/>
    <w:rsid w:val="55147C14"/>
    <w:rsid w:val="55CA05EB"/>
    <w:rsid w:val="57B47907"/>
    <w:rsid w:val="58384C1D"/>
    <w:rsid w:val="587074D9"/>
    <w:rsid w:val="59DB6656"/>
    <w:rsid w:val="5A5C6C20"/>
    <w:rsid w:val="5AF51126"/>
    <w:rsid w:val="5B511A5D"/>
    <w:rsid w:val="5B547AFB"/>
    <w:rsid w:val="5B6F47AB"/>
    <w:rsid w:val="5B8D564A"/>
    <w:rsid w:val="5BAC12AE"/>
    <w:rsid w:val="5C286718"/>
    <w:rsid w:val="5DE67284"/>
    <w:rsid w:val="5E5E5099"/>
    <w:rsid w:val="5E843F8E"/>
    <w:rsid w:val="5EC125F1"/>
    <w:rsid w:val="5F1301AE"/>
    <w:rsid w:val="5F5C1A93"/>
    <w:rsid w:val="5F8D1FFB"/>
    <w:rsid w:val="6124345F"/>
    <w:rsid w:val="61C12F38"/>
    <w:rsid w:val="61CB6E5B"/>
    <w:rsid w:val="61E33032"/>
    <w:rsid w:val="62A12194"/>
    <w:rsid w:val="62C75381"/>
    <w:rsid w:val="63061235"/>
    <w:rsid w:val="63125815"/>
    <w:rsid w:val="635860ED"/>
    <w:rsid w:val="63906021"/>
    <w:rsid w:val="63FA1694"/>
    <w:rsid w:val="64CD1CA9"/>
    <w:rsid w:val="65074FBA"/>
    <w:rsid w:val="65A811CE"/>
    <w:rsid w:val="65E42635"/>
    <w:rsid w:val="65E62FA6"/>
    <w:rsid w:val="66377D5A"/>
    <w:rsid w:val="665A4432"/>
    <w:rsid w:val="6747675A"/>
    <w:rsid w:val="676E5BB2"/>
    <w:rsid w:val="67AB6193"/>
    <w:rsid w:val="67B212C6"/>
    <w:rsid w:val="67B27807"/>
    <w:rsid w:val="680D43A2"/>
    <w:rsid w:val="683F1D58"/>
    <w:rsid w:val="687A7298"/>
    <w:rsid w:val="68DB6B9B"/>
    <w:rsid w:val="69440385"/>
    <w:rsid w:val="69505A53"/>
    <w:rsid w:val="69AA7E88"/>
    <w:rsid w:val="6B0B4A44"/>
    <w:rsid w:val="6B0D63B8"/>
    <w:rsid w:val="6B225A84"/>
    <w:rsid w:val="6B55613B"/>
    <w:rsid w:val="6BB26D23"/>
    <w:rsid w:val="6C79734E"/>
    <w:rsid w:val="6C7F703F"/>
    <w:rsid w:val="6D255509"/>
    <w:rsid w:val="6D9C65BD"/>
    <w:rsid w:val="6E6862CE"/>
    <w:rsid w:val="6E752186"/>
    <w:rsid w:val="6F524E7F"/>
    <w:rsid w:val="6FA52D7E"/>
    <w:rsid w:val="6FE100AF"/>
    <w:rsid w:val="71086DB5"/>
    <w:rsid w:val="720553EA"/>
    <w:rsid w:val="724939B2"/>
    <w:rsid w:val="730D39D2"/>
    <w:rsid w:val="733602F9"/>
    <w:rsid w:val="73397BC7"/>
    <w:rsid w:val="74A312BB"/>
    <w:rsid w:val="75117424"/>
    <w:rsid w:val="754F4216"/>
    <w:rsid w:val="75C31473"/>
    <w:rsid w:val="763B2EA0"/>
    <w:rsid w:val="76675743"/>
    <w:rsid w:val="770C105C"/>
    <w:rsid w:val="77D03D3C"/>
    <w:rsid w:val="787F394A"/>
    <w:rsid w:val="78A557D6"/>
    <w:rsid w:val="7A9A0E01"/>
    <w:rsid w:val="7A9F0E14"/>
    <w:rsid w:val="7B017831"/>
    <w:rsid w:val="7BA023E7"/>
    <w:rsid w:val="7C3E5E46"/>
    <w:rsid w:val="7D48599E"/>
    <w:rsid w:val="7D99479D"/>
    <w:rsid w:val="7E27215B"/>
    <w:rsid w:val="7E3038D5"/>
    <w:rsid w:val="7E513469"/>
    <w:rsid w:val="7EE759C2"/>
    <w:rsid w:val="7F4D1B35"/>
    <w:rsid w:val="7F76089F"/>
    <w:rsid w:val="7F76345C"/>
    <w:rsid w:val="7FFF6FB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2"/>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annotation reference"/>
    <w:basedOn w:val="9"/>
    <w:qFormat/>
    <w:uiPriority w:val="0"/>
    <w:rPr>
      <w:sz w:val="21"/>
      <w:szCs w:val="21"/>
    </w:rPr>
  </w:style>
  <w:style w:type="character" w:customStyle="1" w:styleId="11">
    <w:name w:val="批注文字 字符"/>
    <w:basedOn w:val="9"/>
    <w:link w:val="2"/>
    <w:qFormat/>
    <w:uiPriority w:val="0"/>
    <w:rPr>
      <w:rFonts w:ascii="Calibri" w:hAnsi="Calibri" w:cs="黑体"/>
      <w:kern w:val="2"/>
      <w:sz w:val="21"/>
      <w:szCs w:val="24"/>
    </w:rPr>
  </w:style>
  <w:style w:type="character" w:customStyle="1" w:styleId="12">
    <w:name w:val="批注主题 字符"/>
    <w:basedOn w:val="11"/>
    <w:link w:val="6"/>
    <w:qFormat/>
    <w:uiPriority w:val="0"/>
    <w:rPr>
      <w:rFonts w:ascii="Calibri" w:hAnsi="Calibri" w:cs="黑体"/>
      <w:b/>
      <w:bCs/>
      <w:kern w:val="2"/>
      <w:sz w:val="21"/>
      <w:szCs w:val="24"/>
    </w:rPr>
  </w:style>
  <w:style w:type="character" w:customStyle="1" w:styleId="13">
    <w:name w:val="批注框文本 字符"/>
    <w:basedOn w:val="9"/>
    <w:link w:val="3"/>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emf"/><Relationship Id="rId14" Type="http://schemas.openxmlformats.org/officeDocument/2006/relationships/oleObject" Target="embeddings/oleObject2.bin"/><Relationship Id="rId13" Type="http://schemas.openxmlformats.org/officeDocument/2006/relationships/image" Target="media/image1.emf"/><Relationship Id="rId12" Type="http://schemas.openxmlformats.org/officeDocument/2006/relationships/oleObject" Target="embeddings/oleObject1.bin"/><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zh-CN" sz="1800" b="0" i="0" u="none" strike="noStrike" kern="1200" baseline="0">
                <a:solidFill>
                  <a:schemeClr val="tx1"/>
                </a:solidFill>
                <a:latin typeface="+mn-lt"/>
                <a:ea typeface="+mn-ea"/>
                <a:cs typeface="+mn-cs"/>
              </a:defRPr>
            </a:pPr>
            <a:r>
              <a:rPr lang="zh-CN" altLang="en-US" b="1">
                <a:latin typeface="仿宋" panose="02010609060101010101" pitchFamily="5" charset="-122"/>
                <a:ea typeface="仿宋" panose="02010609060101010101" pitchFamily="5" charset="-122"/>
              </a:rPr>
              <a:t>部门人员情况</a:t>
            </a:r>
            <a:endParaRPr lang="zh-CN" altLang="en-US" b="1">
              <a:latin typeface="仿宋" panose="02010609060101010101" pitchFamily="5" charset="-122"/>
              <a:ea typeface="仿宋" panose="02010609060101010101" pitchFamily="5" charset="-122"/>
            </a:endParaRPr>
          </a:p>
        </c:rich>
      </c:tx>
      <c:layout/>
      <c:overlay val="0"/>
    </c:title>
    <c:autoTitleDeleted val="0"/>
    <c:plotArea>
      <c:layout/>
      <c:barChart>
        <c:barDir val="col"/>
        <c:grouping val="clustered"/>
        <c:varyColors val="0"/>
        <c:ser>
          <c:idx val="0"/>
          <c:order val="0"/>
          <c:tx>
            <c:strRef>
              <c:f>Sheet1!$B$1</c:f>
              <c:strCache>
                <c:ptCount val="1"/>
                <c:pt idx="0">
                  <c:v>行政编制</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行政编制</c:v>
                </c:pt>
                <c:pt idx="1">
                  <c:v>行政人员</c:v>
                </c:pt>
                <c:pt idx="2">
                  <c:v>退休人员</c:v>
                </c:pt>
              </c:strCache>
            </c:strRef>
          </c:cat>
          <c:val>
            <c:numRef>
              <c:f>Sheet1!$B$2:$B$4</c:f>
              <c:numCache>
                <c:formatCode>General</c:formatCode>
                <c:ptCount val="3"/>
                <c:pt idx="0">
                  <c:v>32</c:v>
                </c:pt>
              </c:numCache>
            </c:numRef>
          </c:val>
        </c:ser>
        <c:ser>
          <c:idx val="1"/>
          <c:order val="1"/>
          <c:tx>
            <c:strRef>
              <c:f>Sheet1!$C$1</c:f>
              <c:strCache>
                <c:ptCount val="1"/>
                <c:pt idx="0">
                  <c:v>行政人员</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行政编制</c:v>
                </c:pt>
                <c:pt idx="1">
                  <c:v>行政人员</c:v>
                </c:pt>
                <c:pt idx="2">
                  <c:v>退休人员</c:v>
                </c:pt>
              </c:strCache>
            </c:strRef>
          </c:cat>
          <c:val>
            <c:numRef>
              <c:f>Sheet1!$C$2:$C$4</c:f>
              <c:numCache>
                <c:formatCode>General</c:formatCode>
                <c:ptCount val="3"/>
                <c:pt idx="1">
                  <c:v>31</c:v>
                </c:pt>
              </c:numCache>
            </c:numRef>
          </c:val>
        </c:ser>
        <c:ser>
          <c:idx val="2"/>
          <c:order val="2"/>
          <c:tx>
            <c:strRef>
              <c:f>Sheet1!$D$1</c:f>
              <c:strCache>
                <c:ptCount val="1"/>
                <c:pt idx="0">
                  <c:v>退休人员</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Sheet1!$A$2:$A$4</c:f>
              <c:strCache>
                <c:ptCount val="3"/>
                <c:pt idx="0">
                  <c:v>行政编制</c:v>
                </c:pt>
                <c:pt idx="1">
                  <c:v>行政人员</c:v>
                </c:pt>
                <c:pt idx="2">
                  <c:v>退休人员</c:v>
                </c:pt>
              </c:strCache>
            </c:strRef>
          </c:cat>
          <c:val>
            <c:numRef>
              <c:f>Sheet1!$D$2:$D$4</c:f>
              <c:numCache>
                <c:formatCode>General</c:formatCode>
                <c:ptCount val="3"/>
                <c:pt idx="2">
                  <c:v>3</c:v>
                </c:pt>
              </c:numCache>
            </c:numRef>
          </c:val>
        </c:ser>
        <c:dLbls>
          <c:showLegendKey val="0"/>
          <c:showVal val="1"/>
          <c:showCatName val="0"/>
          <c:showSerName val="0"/>
          <c:showPercent val="0"/>
          <c:showBubbleSize val="0"/>
        </c:dLbls>
        <c:gapWidth val="150"/>
        <c:overlap val="-25"/>
        <c:axId val="162704768"/>
        <c:axId val="162710656"/>
      </c:barChart>
      <c:catAx>
        <c:axId val="162704768"/>
        <c:scaling>
          <c:orientation val="minMax"/>
        </c:scaling>
        <c:delete val="0"/>
        <c:axPos val="b"/>
        <c:numFmt formatCode="General" sourceLinked="1"/>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2710656"/>
        <c:crosses val="autoZero"/>
        <c:auto val="1"/>
        <c:lblAlgn val="ctr"/>
        <c:lblOffset val="100"/>
        <c:noMultiLvlLbl val="0"/>
      </c:catAx>
      <c:valAx>
        <c:axId val="162710656"/>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62704768"/>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88178561587214"/>
          <c:y val="0.145761395041195"/>
          <c:w val="0.873555062823356"/>
          <c:h val="0.659861576244697"/>
        </c:manualLayout>
      </c:layout>
      <c:barChart>
        <c:barDir val="col"/>
        <c:grouping val="clustered"/>
        <c:varyColors val="0"/>
        <c:ser>
          <c:idx val="0"/>
          <c:order val="0"/>
          <c:tx>
            <c:strRef>
              <c:f>Sheet1!$A$2</c:f>
              <c:strCache>
                <c:ptCount val="1"/>
                <c:pt idx="0">
                  <c:v>2019年</c:v>
                </c:pt>
              </c:strCache>
            </c:strRef>
          </c:tx>
          <c:spPr>
            <a:solidFill>
              <a:srgbClr val="9999FF"/>
            </a:solidFill>
            <a:ln w="12665">
              <a:solidFill>
                <a:srgbClr val="000000"/>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9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Sheet1!$B$2:$C$2</c:f>
              <c:numCache>
                <c:formatCode>General</c:formatCode>
                <c:ptCount val="2"/>
                <c:pt idx="0">
                  <c:v>527.94</c:v>
                </c:pt>
                <c:pt idx="1">
                  <c:v>524.83</c:v>
                </c:pt>
              </c:numCache>
            </c:numRef>
          </c:val>
        </c:ser>
        <c:ser>
          <c:idx val="1"/>
          <c:order val="1"/>
          <c:tx>
            <c:strRef>
              <c:f>Sheet1!$A$3</c:f>
              <c:strCache>
                <c:ptCount val="1"/>
                <c:pt idx="0">
                  <c:v>2020年</c:v>
                </c:pt>
              </c:strCache>
            </c:strRef>
          </c:tx>
          <c:spPr>
            <a:solidFill>
              <a:srgbClr val="993366"/>
            </a:solidFill>
            <a:ln w="12665">
              <a:solidFill>
                <a:srgbClr val="000000"/>
              </a:solidFill>
              <a:prstDash val="solid"/>
            </a:ln>
          </c:spPr>
          <c:invertIfNegative val="0"/>
          <c:dLbls>
            <c:spPr>
              <a:noFill/>
              <a:ln>
                <a:noFill/>
              </a:ln>
              <a:effectLst/>
            </c:spPr>
            <c:txPr>
              <a:bodyPr rot="0" spcFirstLastPara="0" vertOverflow="ellipsis" vert="horz" wrap="square" lIns="38100" tIns="19050" rIns="38100" bIns="19050" anchor="ctr" anchorCtr="1"/>
              <a:lstStyle/>
              <a:p>
                <a:pPr>
                  <a:defRPr lang="zh-CN" sz="9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Sheet1!$B$1:$C$1</c:f>
              <c:strCache>
                <c:ptCount val="2"/>
                <c:pt idx="0">
                  <c:v>收入</c:v>
                </c:pt>
                <c:pt idx="1">
                  <c:v>支出</c:v>
                </c:pt>
              </c:strCache>
            </c:strRef>
          </c:cat>
          <c:val>
            <c:numRef>
              <c:f>Sheet1!$B$3:$C$3</c:f>
              <c:numCache>
                <c:formatCode>General</c:formatCode>
                <c:ptCount val="2"/>
                <c:pt idx="0">
                  <c:v>551.29</c:v>
                </c:pt>
                <c:pt idx="1">
                  <c:v>548.83</c:v>
                </c:pt>
              </c:numCache>
            </c:numRef>
          </c:val>
        </c:ser>
        <c:dLbls>
          <c:showLegendKey val="0"/>
          <c:showVal val="1"/>
          <c:showCatName val="0"/>
          <c:showSerName val="0"/>
          <c:showPercent val="0"/>
          <c:showBubbleSize val="0"/>
        </c:dLbls>
        <c:gapWidth val="75"/>
        <c:axId val="200503296"/>
        <c:axId val="200504832"/>
      </c:barChart>
      <c:catAx>
        <c:axId val="200503296"/>
        <c:scaling>
          <c:orientation val="minMax"/>
        </c:scaling>
        <c:delete val="0"/>
        <c:axPos val="b"/>
        <c:numFmt formatCode="General" sourceLinked="1"/>
        <c:majorTickMark val="none"/>
        <c:minorTickMark val="none"/>
        <c:tickLblPos val="low"/>
        <c:spPr>
          <a:ln w="3166" cap="flat" cmpd="sng" algn="ctr">
            <a:solidFill>
              <a:srgbClr val="000000"/>
            </a:solidFill>
            <a:prstDash val="solid"/>
            <a:round/>
          </a:ln>
        </c:spPr>
        <c:txPr>
          <a:bodyPr rot="0" spcFirstLastPara="0" vertOverflow="ellipsis" vert="horz" wrap="square" anchor="ctr" anchorCtr="1"/>
          <a:lstStyle/>
          <a:p>
            <a:pPr>
              <a:defRPr lang="zh-CN" sz="9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00504832"/>
        <c:crosses val="autoZero"/>
        <c:auto val="1"/>
        <c:lblAlgn val="ctr"/>
        <c:lblOffset val="100"/>
        <c:tickLblSkip val="1"/>
        <c:noMultiLvlLbl val="0"/>
      </c:catAx>
      <c:valAx>
        <c:axId val="200504832"/>
        <c:scaling>
          <c:orientation val="minMax"/>
        </c:scaling>
        <c:delete val="0"/>
        <c:axPos val="l"/>
        <c:numFmt formatCode="General" sourceLinked="1"/>
        <c:majorTickMark val="none"/>
        <c:minorTickMark val="none"/>
        <c:tickLblPos val="nextTo"/>
        <c:txPr>
          <a:bodyPr rot="0" spcFirstLastPara="0" vertOverflow="ellipsis" vert="horz" wrap="square" anchor="ctr" anchorCtr="1"/>
          <a:lstStyle/>
          <a:p>
            <a:pPr>
              <a:defRPr lang="zh-CN" sz="97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200503296"/>
        <c:crosses val="autoZero"/>
        <c:crossBetween val="between"/>
      </c:valAx>
      <c:spPr>
        <a:solidFill>
          <a:srgbClr val="C0C0C0"/>
        </a:solidFill>
        <a:ln w="12700">
          <a:solidFill>
            <a:srgbClr val="808080"/>
          </a:solidFill>
          <a:prstDash val="solid"/>
        </a:ln>
        <a:effectLst/>
      </c:spPr>
    </c:plotArea>
    <c:legend>
      <c:legendPos val="b"/>
      <c:layout>
        <c:manualLayout>
          <c:xMode val="edge"/>
          <c:yMode val="edge"/>
          <c:x val="0.40225810686622"/>
          <c:y val="0.931227436823105"/>
          <c:w val="0.265983983195484"/>
          <c:h val="0.0629963898916967"/>
        </c:manualLayout>
      </c:layout>
      <c:overlay val="0"/>
      <c:spPr>
        <a:noFill/>
        <a:ln w="3166">
          <a:solidFill>
            <a:srgbClr val="000000"/>
          </a:solidFill>
          <a:prstDash val="solid"/>
        </a:ln>
      </c:spPr>
      <c:txPr>
        <a:bodyPr rot="0" spcFirstLastPara="0" vertOverflow="ellipsis" vert="horz" wrap="square" anchor="ctr" anchorCtr="1"/>
        <a:lstStyle/>
        <a:p>
          <a:pPr>
            <a:defRPr lang="zh-CN" sz="895"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gap"/>
    <c:showDLblsOverMax val="0"/>
  </c:chart>
  <c:spPr>
    <a:noFill/>
    <a:ln w="9525" cap="flat" cmpd="sng" algn="ctr">
      <a:noFill/>
      <a:prstDash val="solid"/>
      <a:round/>
    </a:ln>
  </c:spPr>
  <c:txPr>
    <a:bodyPr/>
    <a:lstStyle/>
    <a:p>
      <a:pPr>
        <a:defRPr lang="zh-CN" sz="97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仿宋" panose="02010609060101010101" pitchFamily="5" charset="-122"/>
                <a:ea typeface="仿宋" panose="02010609060101010101" pitchFamily="5" charset="-122"/>
                <a:cs typeface="+mn-cs"/>
              </a:defRPr>
            </a:pPr>
            <a:r>
              <a:rPr lang="en-US" altLang="zh-CN" b="1">
                <a:latin typeface="仿宋" panose="02010609060101010101" pitchFamily="5" charset="-122"/>
                <a:ea typeface="仿宋" panose="02010609060101010101" pitchFamily="5" charset="-122"/>
              </a:rPr>
              <a:t>2020</a:t>
            </a:r>
            <a:r>
              <a:rPr lang="zh-CN" altLang="en-US" b="1">
                <a:latin typeface="仿宋" panose="02010609060101010101" pitchFamily="5" charset="-122"/>
                <a:ea typeface="仿宋" panose="02010609060101010101" pitchFamily="5" charset="-122"/>
              </a:rPr>
              <a:t>年收入构成</a:t>
            </a:r>
            <a:endParaRPr lang="zh-CN" altLang="en-US" b="1">
              <a:latin typeface="仿宋" panose="02010609060101010101" pitchFamily="5" charset="-122"/>
              <a:ea typeface="仿宋" panose="02010609060101010101" pitchFamily="5" charset="-122"/>
            </a:endParaRPr>
          </a:p>
        </c:rich>
      </c:tx>
      <c:layout/>
      <c:overlay val="0"/>
    </c:title>
    <c:autoTitleDeleted val="0"/>
    <c:plotArea>
      <c:layout/>
      <c:pieChart>
        <c:varyColors val="1"/>
        <c:ser>
          <c:idx val="0"/>
          <c:order val="0"/>
          <c:tx>
            <c:strRef>
              <c:f>Sheet1!$B$1</c:f>
              <c:strCache>
                <c:ptCount val="1"/>
                <c:pt idx="0">
                  <c:v>2020年收入构成</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财政拨款收入</c:v>
                </c:pt>
                <c:pt idx="1">
                  <c:v>上年结转结余</c:v>
                </c:pt>
              </c:strCache>
            </c:strRef>
          </c:cat>
          <c:val>
            <c:numRef>
              <c:f>Sheet1!$B$2:$B$3</c:f>
              <c:numCache>
                <c:formatCode>General</c:formatCode>
                <c:ptCount val="2"/>
                <c:pt idx="0">
                  <c:v>533.57</c:v>
                </c:pt>
                <c:pt idx="1">
                  <c:v>17.72</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仿宋" panose="02010609060101010101" pitchFamily="5" charset="-122"/>
                <a:ea typeface="仿宋" panose="02010609060101010101" pitchFamily="5" charset="-122"/>
                <a:cs typeface="+mn-cs"/>
              </a:defRPr>
            </a:pPr>
            <a:r>
              <a:rPr lang="en-US" altLang="zh-CN" b="1">
                <a:latin typeface="仿宋" panose="02010609060101010101" pitchFamily="5" charset="-122"/>
                <a:ea typeface="仿宋" panose="02010609060101010101" pitchFamily="5" charset="-122"/>
              </a:rPr>
              <a:t>2020</a:t>
            </a:r>
            <a:r>
              <a:rPr lang="zh-CN" altLang="en-US" b="1">
                <a:latin typeface="仿宋" panose="02010609060101010101" pitchFamily="5" charset="-122"/>
                <a:ea typeface="仿宋" panose="02010609060101010101" pitchFamily="5" charset="-122"/>
              </a:rPr>
              <a:t>年支出构成</a:t>
            </a:r>
            <a:endParaRPr lang="zh-CN" altLang="en-US" b="1">
              <a:latin typeface="仿宋" panose="02010609060101010101" pitchFamily="5" charset="-122"/>
              <a:ea typeface="仿宋" panose="02010609060101010101" pitchFamily="5" charset="-122"/>
            </a:endParaRPr>
          </a:p>
        </c:rich>
      </c:tx>
      <c:layout/>
      <c:overlay val="0"/>
    </c:title>
    <c:autoTitleDeleted val="0"/>
    <c:plotArea>
      <c:layout/>
      <c:pieChart>
        <c:varyColors val="1"/>
        <c:ser>
          <c:idx val="0"/>
          <c:order val="0"/>
          <c:tx>
            <c:strRef>
              <c:f>Sheet1!$B$1</c:f>
              <c:strCache>
                <c:ptCount val="1"/>
                <c:pt idx="0">
                  <c:v>2020年支出构成</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514.54</c:v>
                </c:pt>
                <c:pt idx="1">
                  <c:v>34.29</c:v>
                </c:pt>
              </c:numCache>
            </c:numRef>
          </c:val>
        </c:ser>
        <c:dLbls>
          <c:showLegendKey val="0"/>
          <c:showVal val="0"/>
          <c:showCatName val="0"/>
          <c:showSerName val="0"/>
          <c:showPercent val="1"/>
          <c:showBubbleSize val="0"/>
          <c:showLeaderLines val="1"/>
        </c:dLbls>
        <c:firstSliceAng val="0"/>
      </c:pieChart>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仿宋" panose="02010609060101010101" pitchFamily="5" charset="-122"/>
                <a:ea typeface="仿宋" panose="02010609060101010101" pitchFamily="5" charset="-122"/>
                <a:cs typeface="+mn-cs"/>
              </a:defRPr>
            </a:pPr>
            <a:r>
              <a:rPr lang="en-US" altLang="zh-CN" sz="1800">
                <a:latin typeface="仿宋" panose="02010609060101010101" pitchFamily="5" charset="-122"/>
                <a:ea typeface="仿宋" panose="02010609060101010101" pitchFamily="5" charset="-122"/>
              </a:rPr>
              <a:t> </a:t>
            </a:r>
            <a:r>
              <a:rPr lang="zh-CN" sz="1800">
                <a:latin typeface="仿宋" panose="02010609060101010101" pitchFamily="5" charset="-122"/>
                <a:ea typeface="仿宋" panose="02010609060101010101" pitchFamily="5" charset="-122"/>
              </a:rPr>
              <a:t>财政拨款收入支出决算</a:t>
            </a:r>
            <a:endParaRPr lang="en-US" altLang="zh-CN" sz="1800">
              <a:latin typeface="仿宋" panose="02010609060101010101" pitchFamily="5" charset="-122"/>
              <a:ea typeface="仿宋" panose="02010609060101010101" pitchFamily="5" charset="-122"/>
            </a:endParaRPr>
          </a:p>
          <a:p>
            <a:pPr>
              <a:defRPr lang="zh-CN" sz="1800" b="1" i="0" u="none" strike="noStrike" kern="1200" baseline="0">
                <a:solidFill>
                  <a:schemeClr val="tx1"/>
                </a:solidFill>
                <a:latin typeface="仿宋" panose="02010609060101010101" pitchFamily="5" charset="-122"/>
                <a:ea typeface="仿宋" panose="02010609060101010101" pitchFamily="5" charset="-122"/>
                <a:cs typeface="+mn-cs"/>
              </a:defRPr>
            </a:pPr>
            <a:r>
              <a:rPr lang="zh-CN" sz="1800">
                <a:latin typeface="仿宋" panose="02010609060101010101" pitchFamily="5" charset="-122"/>
                <a:ea typeface="仿宋" panose="02010609060101010101" pitchFamily="5" charset="-122"/>
              </a:rPr>
              <a:t>总体情况</a:t>
            </a:r>
            <a:endParaRPr lang="zh-CN" sz="1800">
              <a:latin typeface="仿宋" panose="02010609060101010101" pitchFamily="5" charset="-122"/>
              <a:ea typeface="仿宋" panose="02010609060101010101" pitchFamily="5" charset="-122"/>
            </a:endParaRPr>
          </a:p>
        </c:rich>
      </c:tx>
      <c:layout/>
      <c:overlay val="0"/>
    </c:title>
    <c:autoTitleDeleted val="0"/>
    <c:plotArea>
      <c:layout>
        <c:manualLayout>
          <c:layoutTarget val="inner"/>
          <c:xMode val="edge"/>
          <c:yMode val="edge"/>
          <c:x val="0.0333434374052743"/>
          <c:y val="0.534426229508197"/>
          <c:w val="0.933313125189451"/>
          <c:h val="0.312369597615499"/>
        </c:manualLayout>
      </c:layout>
      <c:barChart>
        <c:barDir val="col"/>
        <c:grouping val="clustered"/>
        <c:varyColors val="0"/>
        <c:ser>
          <c:idx val="0"/>
          <c:order val="0"/>
          <c:tx>
            <c:strRef>
              <c:f>Sheet1!$B$1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527.94</c:v>
                </c:pt>
                <c:pt idx="1">
                  <c:v>524.83</c:v>
                </c:pt>
              </c:numCache>
            </c:numRef>
          </c:val>
        </c:ser>
        <c:ser>
          <c:idx val="1"/>
          <c:order val="1"/>
          <c:tx>
            <c:strRef>
              <c:f>Sheet1!$C$1</c:f>
              <c:strCache>
                <c:ptCount val="1"/>
                <c:pt idx="0">
                  <c:v>2020年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551.29</c:v>
                </c:pt>
                <c:pt idx="1">
                  <c:v>548.83</c:v>
                </c:pt>
              </c:numCache>
            </c:numRef>
          </c:val>
        </c:ser>
        <c:dLbls>
          <c:showLegendKey val="0"/>
          <c:showVal val="1"/>
          <c:showCatName val="0"/>
          <c:showSerName val="0"/>
          <c:showPercent val="0"/>
          <c:showBubbleSize val="0"/>
        </c:dLbls>
        <c:gapWidth val="150"/>
        <c:overlap val="-25"/>
        <c:axId val="205145216"/>
        <c:axId val="205146752"/>
      </c:barChart>
      <c:catAx>
        <c:axId val="20514521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5146752"/>
        <c:crosses val="autoZero"/>
        <c:auto val="1"/>
        <c:lblAlgn val="ctr"/>
        <c:lblOffset val="100"/>
        <c:noMultiLvlLbl val="0"/>
      </c:catAx>
      <c:valAx>
        <c:axId val="205146752"/>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5145216"/>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仿宋" panose="02010609060101010101" pitchFamily="5" charset="-122"/>
                <a:ea typeface="仿宋" panose="02010609060101010101" pitchFamily="5" charset="-122"/>
                <a:cs typeface="+mn-cs"/>
              </a:defRPr>
            </a:pPr>
            <a:r>
              <a:rPr lang="en-US" altLang="zh-CN" sz="1800">
                <a:latin typeface="仿宋" panose="02010609060101010101" pitchFamily="5" charset="-122"/>
                <a:ea typeface="仿宋" panose="02010609060101010101" pitchFamily="5" charset="-122"/>
              </a:rPr>
              <a:t> </a:t>
            </a:r>
            <a:r>
              <a:rPr lang="zh-CN" sz="1800">
                <a:latin typeface="仿宋" panose="02010609060101010101" pitchFamily="5" charset="-122"/>
                <a:ea typeface="仿宋" panose="02010609060101010101" pitchFamily="5" charset="-122"/>
              </a:rPr>
              <a:t>财政拨款收入支出决算</a:t>
            </a:r>
            <a:endParaRPr lang="en-US" altLang="zh-CN" sz="1800">
              <a:latin typeface="仿宋" panose="02010609060101010101" pitchFamily="5" charset="-122"/>
              <a:ea typeface="仿宋" panose="02010609060101010101" pitchFamily="5" charset="-122"/>
            </a:endParaRPr>
          </a:p>
          <a:p>
            <a:pPr>
              <a:defRPr lang="zh-CN" sz="1800" b="1" i="0" u="none" strike="noStrike" kern="1200" baseline="0">
                <a:solidFill>
                  <a:schemeClr val="tx1"/>
                </a:solidFill>
                <a:latin typeface="仿宋" panose="02010609060101010101" pitchFamily="5" charset="-122"/>
                <a:ea typeface="仿宋" panose="02010609060101010101" pitchFamily="5" charset="-122"/>
                <a:cs typeface="+mn-cs"/>
              </a:defRPr>
            </a:pPr>
            <a:r>
              <a:rPr lang="zh-CN" sz="1800">
                <a:latin typeface="仿宋" panose="02010609060101010101" pitchFamily="5" charset="-122"/>
                <a:ea typeface="仿宋" panose="02010609060101010101" pitchFamily="5" charset="-122"/>
              </a:rPr>
              <a:t>总体情况</a:t>
            </a:r>
            <a:endParaRPr lang="zh-CN" sz="1800">
              <a:latin typeface="仿宋" panose="02010609060101010101" pitchFamily="5" charset="-122"/>
              <a:ea typeface="仿宋" panose="02010609060101010101" pitchFamily="5" charset="-122"/>
            </a:endParaRPr>
          </a:p>
        </c:rich>
      </c:tx>
      <c:layout/>
      <c:overlay val="0"/>
    </c:title>
    <c:autoTitleDeleted val="0"/>
    <c:plotArea>
      <c:layout/>
      <c:barChart>
        <c:barDir val="col"/>
        <c:grouping val="clustered"/>
        <c:varyColors val="0"/>
        <c:ser>
          <c:idx val="0"/>
          <c:order val="0"/>
          <c:tx>
            <c:strRef>
              <c:f>Sheet1!$B$1</c:f>
              <c:strCache>
                <c:ptCount val="1"/>
                <c:pt idx="0">
                  <c:v>2018年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Sheet1!$B$2:$B$3</c:f>
              <c:numCache>
                <c:formatCode>General</c:formatCode>
                <c:ptCount val="2"/>
                <c:pt idx="0">
                  <c:v>515.839999999999</c:v>
                </c:pt>
                <c:pt idx="1">
                  <c:v>534.049999999999</c:v>
                </c:pt>
              </c:numCache>
            </c:numRef>
          </c:val>
        </c:ser>
        <c:ser>
          <c:idx val="1"/>
          <c:order val="1"/>
          <c:tx>
            <c:strRef>
              <c:f>Sheet1!$C$1</c:f>
              <c:strCache>
                <c:ptCount val="1"/>
                <c:pt idx="0">
                  <c:v>2019年</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财政拨款收入</c:v>
                </c:pt>
                <c:pt idx="1">
                  <c:v>财政拨款支出</c:v>
                </c:pt>
              </c:strCache>
            </c:strRef>
          </c:cat>
          <c:val>
            <c:numRef>
              <c:f>Sheet1!$C$2:$C$3</c:f>
              <c:numCache>
                <c:formatCode>General</c:formatCode>
                <c:ptCount val="2"/>
                <c:pt idx="0">
                  <c:v>527.939999999999</c:v>
                </c:pt>
                <c:pt idx="1">
                  <c:v>524.829999999999</c:v>
                </c:pt>
              </c:numCache>
            </c:numRef>
          </c:val>
        </c:ser>
        <c:dLbls>
          <c:showLegendKey val="0"/>
          <c:showVal val="1"/>
          <c:showCatName val="0"/>
          <c:showSerName val="0"/>
          <c:showPercent val="0"/>
          <c:showBubbleSize val="0"/>
        </c:dLbls>
        <c:gapWidth val="150"/>
        <c:overlap val="-25"/>
        <c:axId val="205145216"/>
        <c:axId val="205146752"/>
      </c:barChart>
      <c:catAx>
        <c:axId val="205145216"/>
        <c:scaling>
          <c:orientation val="minMax"/>
        </c:scaling>
        <c:delete val="0"/>
        <c:axPos val="b"/>
        <c:majorTickMark val="none"/>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5146752"/>
        <c:crosses val="autoZero"/>
        <c:auto val="1"/>
        <c:lblAlgn val="ctr"/>
        <c:lblOffset val="100"/>
        <c:noMultiLvlLbl val="0"/>
      </c:catAx>
      <c:valAx>
        <c:axId val="205146752"/>
        <c:scaling>
          <c:orientation val="minMax"/>
        </c:scaling>
        <c:delete val="1"/>
        <c:axPos val="l"/>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05145216"/>
        <c:crosses val="autoZero"/>
        <c:crossBetween val="between"/>
      </c:valAx>
    </c:plotArea>
    <c:legend>
      <c:legendPos val="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ln w="9525" cap="flat" cmpd="sng" algn="ctr">
      <a:noFill/>
      <a:prstDash val="solid"/>
      <a:round/>
    </a:ln>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9359</Words>
  <Characters>11762</Characters>
  <Lines>62</Lines>
  <Paragraphs>17</Paragraphs>
  <TotalTime>23</TotalTime>
  <ScaleCrop>false</ScaleCrop>
  <LinksUpToDate>false</LinksUpToDate>
  <CharactersWithSpaces>13055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2020-07-23T09:23:00Z</dcterms:created>
  <dc:creator>Administrator</dc:creator>
  <cp:lastModifiedBy>lenovo</cp:lastModifiedBy>
  <cp:lastPrinted>2020-07-28T02:12:00Z</cp:lastPrinted>
  <dcterms:modified xsi:type="dcterms:W3CDTF">2022-03-29T02:24:43Z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EEC8761C440D47CC86155A1C89131984</vt:lpwstr>
  </property>
</Properties>
</file>